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60"/>
        <w:jc w:val="center"/>
      </w:pPr>
      <w:r>
        <w:rPr>
          <w:rFonts w:ascii="Times New Roman" w:cs="Times New Roman" w:eastAsia="Times New Roman" w:hAnsi="Times New Roman"/>
          <w:b/>
          <w:bCs/>
          <w:sz w:val="28"/>
          <w:szCs w:val="28"/>
        </w:rPr>
        <w:t xml:space="preserve">REPUBLIC OF UZBEKISTAN MINISTRY OF HIGHER EDUCATION, SCIENCE AND INNOVATION</w:t>
      </w:r>
    </w:p>
    <w:p>
      <w:pPr>
        <w:spacing w:after="240" w:line="360"/>
        <w:jc w:val="center"/>
      </w:pPr>
      <w:r>
        <w:rPr>
          <w:rFonts w:ascii="Times New Roman" w:cs="Times New Roman" w:eastAsia="Times New Roman" w:hAnsi="Times New Roman"/>
          <w:b/>
          <w:bCs/>
          <w:sz w:val="28"/>
          <w:szCs w:val="28"/>
        </w:rPr>
        <w:t xml:space="preserve">TASHKENT STATE UNIVERSITY OF ORIENTAL STUDIES</w:t>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120" w:line="360"/>
        <w:jc w:val="center"/>
      </w:pPr>
      <w:r>
        <w:rPr>
          <w:rFonts w:ascii="Times New Roman" w:cs="Times New Roman" w:eastAsia="Times New Roman" w:hAnsi="Times New Roman"/>
          <w:b/>
          <w:bCs/>
          <w:sz w:val="32"/>
          <w:szCs w:val="32"/>
        </w:rPr>
        <w:t xml:space="preserve">REGULATION</w:t>
      </w:r>
    </w:p>
    <w:p>
      <w:pPr>
        <w:spacing w:after="240" w:line="360"/>
        <w:jc w:val="center"/>
      </w:pPr>
      <w:r>
        <w:rPr>
          <w:rFonts w:ascii="Times New Roman" w:cs="Times New Roman" w:eastAsia="Times New Roman" w:hAnsi="Times New Roman"/>
          <w:b/>
          <w:bCs/>
          <w:sz w:val="28"/>
          <w:szCs w:val="28"/>
        </w:rPr>
        <w:t xml:space="preserve">ON THE EDUCATION QUALITY CONTROL DEPARTMENT</w:t>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both"/>
      </w:pPr>
      <w:r>
        <w:rPr>
          <w:rFonts w:ascii="Times New Roman" w:cs="Times New Roman" w:eastAsia="Times New Roman" w:hAnsi="Times New Roman"/>
          <w:sz w:val="28"/>
          <w:szCs w:val="28"/>
        </w:rPr>
        <w:t xml:space="preserve"/>
      </w:r>
    </w:p>
    <w:p>
      <w:pPr>
        <w:spacing w:after="0" w:line="360"/>
        <w:jc w:val="center"/>
      </w:pPr>
      <w:r>
        <w:rPr>
          <w:rFonts w:ascii="Times New Roman" w:cs="Times New Roman" w:eastAsia="Times New Roman" w:hAnsi="Times New Roman"/>
          <w:sz w:val="28"/>
          <w:szCs w:val="28"/>
        </w:rPr>
        <w:t xml:space="preserve">Tashkent – 2025</w:t>
      </w:r>
    </w:p>
    <w:p>
      <w:r>
        <w:br w:type="page"/>
      </w:r>
    </w:p>
    <w:p>
      <w:pPr>
        <w:spacing w:after="60" w:line="360"/>
        <w:jc w:val="right"/>
      </w:pPr>
      <w:r>
        <w:rPr>
          <w:rFonts w:ascii="Times New Roman" w:cs="Times New Roman" w:eastAsia="Times New Roman" w:hAnsi="Times New Roman"/>
          <w:b/>
          <w:bCs/>
          <w:sz w:val="28"/>
          <w:szCs w:val="28"/>
        </w:rPr>
        <w:t xml:space="preserve">“I APPROVE”</w:t>
      </w:r>
    </w:p>
    <w:p>
      <w:pPr>
        <w:spacing w:after="40" w:line="360"/>
        <w:jc w:val="right"/>
      </w:pPr>
      <w:r>
        <w:rPr>
          <w:rFonts w:ascii="Times New Roman" w:cs="Times New Roman" w:eastAsia="Times New Roman" w:hAnsi="Times New Roman"/>
          <w:sz w:val="28"/>
          <w:szCs w:val="28"/>
        </w:rPr>
        <w:t xml:space="preserve">Rector of Tashkent State</w:t>
      </w:r>
    </w:p>
    <w:p>
      <w:pPr>
        <w:spacing w:after="40" w:line="360"/>
        <w:jc w:val="right"/>
      </w:pPr>
      <w:r>
        <w:rPr>
          <w:rFonts w:ascii="Times New Roman" w:cs="Times New Roman" w:eastAsia="Times New Roman" w:hAnsi="Times New Roman"/>
          <w:sz w:val="28"/>
          <w:szCs w:val="28"/>
        </w:rPr>
        <w:t xml:space="preserve">Oriental Studies University G.Sh. Rixsiyeva</w:t>
      </w:r>
    </w:p>
    <w:p>
      <w:pPr>
        <w:spacing w:after="200" w:line="360"/>
        <w:jc w:val="right"/>
      </w:pPr>
      <w:r>
        <w:rPr>
          <w:rFonts w:ascii="Times New Roman" w:cs="Times New Roman" w:eastAsia="Times New Roman" w:hAnsi="Times New Roman"/>
          <w:sz w:val="28"/>
          <w:szCs w:val="28"/>
        </w:rPr>
        <w:t xml:space="preserve">4 October 2025</w:t>
      </w:r>
    </w:p>
    <w:p>
      <w:pPr>
        <w:spacing w:after="120" w:line="360"/>
        <w:jc w:val="center"/>
      </w:pPr>
      <w:r>
        <w:rPr>
          <w:rFonts w:ascii="Times New Roman" w:cs="Times New Roman" w:eastAsia="Times New Roman" w:hAnsi="Times New Roman"/>
          <w:b/>
          <w:bCs/>
          <w:sz w:val="28"/>
          <w:szCs w:val="28"/>
        </w:rPr>
        <w:t xml:space="preserve">INTRODUCTION</w:t>
      </w:r>
    </w:p>
    <w:p>
      <w:pPr>
        <w:spacing w:after="120" w:line="360"/>
        <w:ind w:firstLine="709"/>
        <w:jc w:val="both"/>
      </w:pPr>
      <w:r>
        <w:rPr>
          <w:rFonts w:ascii="Times New Roman" w:cs="Times New Roman" w:eastAsia="Times New Roman" w:hAnsi="Times New Roman"/>
          <w:sz w:val="28"/>
          <w:szCs w:val="28"/>
        </w:rPr>
        <w:t xml:space="preserve">This Regulation establishes the purpose, main objectives, functions, rights and responsibilities of the Education Quality Control Department (hereinafter referred to as the “Department”) of the Tashkent State University of Oriental Studies (hereinafter referred to as “TSUOS”), as well as the procedure for organizing its activities. The Regulation has been developed taking into account the transformation concept of TSUOS designed for the years 2024–2027.</w:t>
      </w:r>
    </w:p>
    <w:p>
      <w:pPr>
        <w:spacing w:after="120" w:line="360"/>
        <w:ind w:firstLine="709"/>
        <w:jc w:val="both"/>
      </w:pPr>
      <w:r>
        <w:rPr>
          <w:rFonts w:ascii="Times New Roman" w:cs="Times New Roman" w:eastAsia="Times New Roman" w:hAnsi="Times New Roman"/>
          <w:sz w:val="28"/>
          <w:szCs w:val="28"/>
        </w:rPr>
        <w:t xml:space="preserve">This Regulation constitutes the legal basis of the education quality assurance system for achieving the strategic goals of the university’s entry into the TOP-300 international rankings, the implementation of the concept, and becoming a “hub” of education in the field of Oriental studies in Central Asia.</w:t>
      </w:r>
    </w:p>
    <w:p>
      <w:pPr>
        <w:pStyle w:val="Heading1"/>
        <w:spacing w:after="160" w:before="240" w:line="360"/>
        <w:jc w:val="center"/>
      </w:pPr>
      <w:r>
        <w:rPr>
          <w:rFonts w:ascii="Times New Roman" w:cs="Times New Roman" w:eastAsia="Times New Roman" w:hAnsi="Times New Roman"/>
          <w:b/>
          <w:bCs/>
          <w:sz w:val="28"/>
          <w:szCs w:val="28"/>
        </w:rPr>
        <w:t xml:space="preserve">CHAPTER I. GENERAL PROVISIONS</w:t>
      </w:r>
    </w:p>
    <w:p>
      <w:pPr>
        <w:pStyle w:val="Heading2"/>
        <w:spacing w:after="120" w:before="160" w:line="360"/>
        <w:jc w:val="center"/>
      </w:pPr>
      <w:r>
        <w:rPr>
          <w:rFonts w:ascii="Times New Roman" w:cs="Times New Roman" w:eastAsia="Times New Roman" w:hAnsi="Times New Roman"/>
          <w:b/>
          <w:bCs/>
          <w:sz w:val="28"/>
          <w:szCs w:val="28"/>
        </w:rPr>
        <w:t xml:space="preserve">1.1. Scope of application of the Regulation</w:t>
      </w:r>
    </w:p>
    <w:p>
      <w:pPr>
        <w:spacing w:after="120" w:line="360"/>
        <w:ind w:firstLine="709"/>
        <w:jc w:val="both"/>
      </w:pPr>
      <w:r>
        <w:rPr>
          <w:rFonts w:ascii="Times New Roman" w:cs="Times New Roman" w:eastAsia="Times New Roman" w:hAnsi="Times New Roman"/>
          <w:sz w:val="28"/>
          <w:szCs w:val="28"/>
        </w:rPr>
        <w:t xml:space="preserve">This Regulation applies to the higher education and post-higher education activities of the Tashkent State University of Oriental Studies. The Regulation covers the principles, policies, rules, processes, standards and criteria of education quality assurance.</w:t>
      </w:r>
    </w:p>
    <w:p>
      <w:pPr>
        <w:pStyle w:val="Heading2"/>
        <w:spacing w:after="120" w:before="160" w:line="360"/>
        <w:jc w:val="center"/>
      </w:pPr>
      <w:r>
        <w:rPr>
          <w:rFonts w:ascii="Times New Roman" w:cs="Times New Roman" w:eastAsia="Times New Roman" w:hAnsi="Times New Roman"/>
          <w:b/>
          <w:bCs/>
          <w:sz w:val="28"/>
          <w:szCs w:val="28"/>
        </w:rPr>
        <w:t xml:space="preserve">1.2. Legal bases of the Regulation</w:t>
      </w:r>
    </w:p>
    <w:p>
      <w:pPr>
        <w:spacing w:after="120" w:line="360"/>
        <w:ind w:firstLine="709"/>
        <w:jc w:val="both"/>
      </w:pPr>
      <w:r>
        <w:rPr>
          <w:rFonts w:ascii="Times New Roman" w:cs="Times New Roman" w:eastAsia="Times New Roman" w:hAnsi="Times New Roman"/>
          <w:sz w:val="28"/>
          <w:szCs w:val="28"/>
        </w:rPr>
        <w:t xml:space="preserve">This Regulation has been developed on the basis of: the Law of the Republic of Uzbekistan “On Education” No. O‘RQ-637 of 23 September 2020; the Decree of the President of the Republic of Uzbekistan “On approval of the Concept for the Development of the Higher Education System of the Republic of Uzbekistan until 2030” No. PF-5847 of 8 October 2019; the Resolution of the President of the Republic of Uzbekistan “On measures to radically improve the system of training personnel and increase the scientific potential in the field of Oriental studies” No. 4680 of 16 April 2020; the Resolution of the President of the Republic of Uzbekistan “On measures to grant financial independence to state higher education institutions” No. PQ-61 of 24 December 2021; the Resolution of the President of the Republic of Uzbekistan “On additional measures to ensure the academic and organizational-managerial independence of state higher education institutions” No. PQ-60 of 24 December 2021; the Decree of the President of the Republic of Uzbekistan No. PF-158 of 11 September 2023 “On the Uzbekistan 2030 Strategy”; the tasks defined in the speeches of the President of the Republic of Uzbekistan at various meetings and selectors on improving the higher education system, strengthening human capital and youth matters; the Resolution of the Cabinet of Ministers of the Republic of Uzbekistan No. 200 of 3 July 2023 “On measures to effectively organize state governance in the sphere of higher education, science and innovation within the framework of administrative reforms”; the Resolution of the Cabinet of Ministers of the Republic of Uzbekistan No. 655 of 27 October 2020 “On measures to transform higher education institutions in cooperation with prestigious foreign higher education institutions”; paragraph 6.3 of Minutes No. 2 of the meeting of the Ministry of Higher Education, Science and Innovation of 10 February 2023; the Order of the Minister of Higher Education, Science and Innovation No. 72 of 27 March 2023 “On improving the activities of education quality control departments at state higher education institutions”; as well as paragraph 4 of the Resolution of the Cabinet of Ministers No. 498 of 6 August 2025 “On introducing a system of comprehensive and special state accreditation of institutions for secondary special, professional, higher and post-higher education, as well as retraining and advanced training of personnel.” This Regulation determines the procedure for organizing and the directions of activity of the Education Quality Control Department of the Tashkent State University of Oriental Studies.</w:t>
      </w:r>
    </w:p>
    <w:p>
      <w:pPr>
        <w:pStyle w:val="Heading2"/>
        <w:spacing w:after="120" w:before="160" w:line="360"/>
        <w:jc w:val="center"/>
      </w:pPr>
      <w:r>
        <w:rPr>
          <w:rFonts w:ascii="Times New Roman" w:cs="Times New Roman" w:eastAsia="Times New Roman" w:hAnsi="Times New Roman"/>
          <w:b/>
          <w:bCs/>
          <w:sz w:val="28"/>
          <w:szCs w:val="28"/>
        </w:rPr>
        <w:t xml:space="preserve">1.3. Strategic goals of the university and education quality assurance</w:t>
      </w:r>
    </w:p>
    <w:p>
      <w:pPr>
        <w:spacing w:after="120" w:line="360"/>
        <w:ind w:firstLine="709"/>
        <w:jc w:val="both"/>
      </w:pPr>
      <w:r>
        <w:rPr>
          <w:rFonts w:ascii="Times New Roman" w:cs="Times New Roman" w:eastAsia="Times New Roman" w:hAnsi="Times New Roman"/>
          <w:sz w:val="28"/>
          <w:szCs w:val="28"/>
        </w:rPr>
        <w:t xml:space="preserve">In accordance with the Transformation Concept, TSUOS has defined the following strategic goals: to radically improve the quality of training highly qualified personnel in the field of Oriental studies in line with international standards, to accelerate the development of science and continuously enhance the potential and pedagogical mastery of the professors and teachers, to educate students on the basis of Eastern values, to increase the attractiveness of education through entry into the TOP-300 international rankings (QS, THE), to transform the university into a modern educational-scientific institution appropriate to the “New Uzbekistan”, and to become an educational “hub” for training personnel in the field of Oriental studies in Central Asia. The Education Quality Control Department plays a decisive role in achieving these strategic goals.</w:t>
      </w:r>
    </w:p>
    <w:p>
      <w:pPr>
        <w:pStyle w:val="Heading2"/>
        <w:spacing w:after="120" w:before="160" w:line="360"/>
        <w:jc w:val="center"/>
      </w:pPr>
      <w:r>
        <w:rPr>
          <w:rFonts w:ascii="Times New Roman" w:cs="Times New Roman" w:eastAsia="Times New Roman" w:hAnsi="Times New Roman"/>
          <w:b/>
          <w:bCs/>
          <w:sz w:val="28"/>
          <w:szCs w:val="28"/>
        </w:rPr>
        <w:t xml:space="preserve">1.4. Education quality assurance system</w:t>
      </w:r>
    </w:p>
    <w:p>
      <w:pPr>
        <w:spacing w:after="120" w:line="360"/>
        <w:ind w:firstLine="709"/>
        <w:jc w:val="both"/>
      </w:pPr>
      <w:r>
        <w:rPr>
          <w:rFonts w:ascii="Times New Roman" w:cs="Times New Roman" w:eastAsia="Times New Roman" w:hAnsi="Times New Roman"/>
          <w:sz w:val="28"/>
          <w:szCs w:val="28"/>
        </w:rPr>
        <w:t xml:space="preserve">The education quality assurance system is a set of mechanisms, rules and processes necessary to ensure the quality of the educational services provided by TSUOS, which are applied systematically within the framework of all functions of the university.</w:t>
      </w:r>
    </w:p>
    <w:p>
      <w:pPr>
        <w:pStyle w:val="Heading2"/>
        <w:spacing w:after="120" w:before="160" w:line="360"/>
        <w:jc w:val="center"/>
      </w:pPr>
      <w:r>
        <w:rPr>
          <w:rFonts w:ascii="Times New Roman" w:cs="Times New Roman" w:eastAsia="Times New Roman" w:hAnsi="Times New Roman"/>
          <w:b/>
          <w:bCs/>
          <w:sz w:val="28"/>
          <w:szCs w:val="28"/>
        </w:rPr>
        <w:t xml:space="preserve">1.5. The main purpose of the education quality assurance system</w:t>
      </w:r>
    </w:p>
    <w:p>
      <w:pPr>
        <w:spacing w:after="120" w:line="360"/>
        <w:ind w:firstLine="709"/>
        <w:jc w:val="both"/>
      </w:pPr>
      <w:r>
        <w:rPr>
          <w:rFonts w:ascii="Times New Roman" w:cs="Times New Roman" w:eastAsia="Times New Roman" w:hAnsi="Times New Roman"/>
          <w:sz w:val="28"/>
          <w:szCs w:val="28"/>
        </w:rPr>
        <w:t xml:space="preserve">The main purpose of the Education Quality Control Department is to form a culture of continuous improvement within the TSUOS community and to improve quality. This is achieved through: supporting quality-improvement activities; ensuring that the activities of the university’s divisions and staff comply with the mission and strategic development goals of TSUOS; increasing the responsibility of TSUOS professors and teachers for ensuring and improving the quality of teaching; ensuring compliance with quality requirements; monitoring the compliance of the content and quality of education with state educational standards and curricula; identifying problems and shortcomings in the educational activities of TSUOS and eliminating them; convincing the public of the delivery of high-quality educational services; ensuring that the knowledge, skills and competencies of graduates meet the requirements of the labour market; and ensuring compliance with the requirements of international accreditation and rankings.</w:t>
      </w:r>
    </w:p>
    <w:p>
      <w:pPr>
        <w:pStyle w:val="Heading2"/>
        <w:spacing w:after="120" w:before="160" w:line="360"/>
        <w:jc w:val="center"/>
      </w:pPr>
      <w:r>
        <w:rPr>
          <w:rFonts w:ascii="Times New Roman" w:cs="Times New Roman" w:eastAsia="Times New Roman" w:hAnsi="Times New Roman"/>
          <w:b/>
          <w:bCs/>
          <w:sz w:val="28"/>
          <w:szCs w:val="28"/>
        </w:rPr>
        <w:t xml:space="preserve">1.6. Main principles of education quality assurance</w:t>
      </w:r>
    </w:p>
    <w:p>
      <w:pPr>
        <w:spacing w:after="120" w:line="360"/>
        <w:ind w:firstLine="709"/>
        <w:jc w:val="both"/>
      </w:pPr>
      <w:r>
        <w:rPr>
          <w:rFonts w:ascii="Times New Roman" w:cs="Times New Roman" w:eastAsia="Times New Roman" w:hAnsi="Times New Roman"/>
          <w:sz w:val="28"/>
          <w:szCs w:val="28"/>
        </w:rPr>
        <w:t xml:space="preserve">Education quality assurance is based on the following principles: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Independence – quality assessment processes are carried out free from external influences;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Accountability – reporting is provided on the results of all activities;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Transparency – processes and results are open to the public;</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Objectivity – assessment criteria are applied precisely and uniformly;</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Continuity and consistency – assessment is carried out regularly;</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Continuous improvement – the quality cycle is applied;</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Inclusiveness – all stakeholders are involved;</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Internationalization – international standards and practices are applied;</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Digitalization – modern digital technologies are used;</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Professionalism – highly qualified specialists are involved;</w:t>
      </w:r>
    </w:p>
    <w:p>
      <w:pPr>
        <w:pStyle w:val="Heading2"/>
        <w:spacing w:after="120" w:before="160" w:line="360"/>
        <w:jc w:val="center"/>
      </w:pPr>
      <w:r>
        <w:rPr>
          <w:rFonts w:ascii="Times New Roman" w:cs="Times New Roman" w:eastAsia="Times New Roman" w:hAnsi="Times New Roman"/>
          <w:b/>
          <w:bCs/>
          <w:sz w:val="28"/>
          <w:szCs w:val="28"/>
        </w:rPr>
        <w:t xml:space="preserve">1.7. Basic concepts</w:t>
      </w:r>
    </w:p>
    <w:p>
      <w:pPr>
        <w:spacing w:after="120" w:line="360"/>
        <w:ind w:firstLine="709"/>
        <w:jc w:val="both"/>
      </w:pPr>
      <w:r>
        <w:rPr>
          <w:rFonts w:ascii="Times New Roman" w:cs="Times New Roman" w:eastAsia="Times New Roman" w:hAnsi="Times New Roman"/>
          <w:sz w:val="28"/>
          <w:szCs w:val="28"/>
        </w:rPr>
        <w:t xml:space="preserve">The following basic concepts are used in this Regulation:</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State educational standards – the requirements set by the state for the content and quality of education;</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Internal (self-)assessment – the process of assessing, analysing and identifying improvement measures for an organization’s activities on the basis of established criteria;</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Accreditation – the main form of state control over assessing the compliance of educational programmes with state standards and requirements;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International accreditation – the assessment of educational programmes by international agencies;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Stakeholders – all parties interested in the activities of the educational institution (management, professors and teachers, students, employers, society);</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Quality audit – checking the compliance of quality assurance activities and achieved results with the planned measures;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KPI (Key Performance Indicators) – the main indicators of activity effectiveness;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Quality monitoring – the systematic collection and analysis of quality indicators to determine whether the quality of education meets the established standards;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Quality cycle – a recurring four-stage process applied to improve activities (Plan–Do–Check–Act);</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SWOT analysis – analysing the strengths and weaknesses, opportunities and threats of an organization;</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HEMIS – the higher education information-management system;</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APS – the academic profile system;</w:t>
      </w:r>
    </w:p>
    <w:p>
      <w:pPr>
        <w:pStyle w:val="Heading1"/>
        <w:spacing w:after="160" w:before="240" w:line="360"/>
        <w:jc w:val="center"/>
      </w:pPr>
      <w:r>
        <w:rPr>
          <w:rFonts w:ascii="Times New Roman" w:cs="Times New Roman" w:eastAsia="Times New Roman" w:hAnsi="Times New Roman"/>
          <w:b/>
          <w:bCs/>
          <w:sz w:val="28"/>
          <w:szCs w:val="28"/>
        </w:rPr>
        <w:t xml:space="preserve">CHAPTER II. ORGANIZATIONAL STRUCTURE AND MANAGEMENT OF THE DEPARTMENT</w:t>
      </w:r>
    </w:p>
    <w:p>
      <w:pPr>
        <w:pStyle w:val="Heading2"/>
        <w:spacing w:after="120" w:before="160" w:line="360"/>
        <w:jc w:val="center"/>
      </w:pPr>
      <w:r>
        <w:rPr>
          <w:rFonts w:ascii="Times New Roman" w:cs="Times New Roman" w:eastAsia="Times New Roman" w:hAnsi="Times New Roman"/>
          <w:b/>
          <w:bCs/>
          <w:sz w:val="28"/>
          <w:szCs w:val="28"/>
        </w:rPr>
        <w:t xml:space="preserve">2.1. Organizational status of the Department</w:t>
      </w:r>
    </w:p>
    <w:p>
      <w:pPr>
        <w:spacing w:after="120" w:line="360"/>
        <w:ind w:firstLine="709"/>
        <w:jc w:val="both"/>
      </w:pPr>
      <w:r>
        <w:rPr>
          <w:rFonts w:ascii="Times New Roman" w:cs="Times New Roman" w:eastAsia="Times New Roman" w:hAnsi="Times New Roman"/>
          <w:sz w:val="28"/>
          <w:szCs w:val="28"/>
        </w:rPr>
        <w:t xml:space="preserve">The Education Quality Control Department is considered a structural component of the organizational structure of TSUOS. The Department reports directly to the University Rector. Deans and other structural managers are not permitted to interfere in the activities of the Department. The Department works in close cooperation with the Department for Ensuring the Quality of Education of the Ministry of Higher Education, Science and Innovation of the Republic of Uzbekistan.</w:t>
      </w:r>
    </w:p>
    <w:p>
      <w:pPr>
        <w:pStyle w:val="Heading2"/>
        <w:spacing w:after="120" w:before="160" w:line="360"/>
        <w:jc w:val="center"/>
      </w:pPr>
      <w:r>
        <w:rPr>
          <w:rFonts w:ascii="Times New Roman" w:cs="Times New Roman" w:eastAsia="Times New Roman" w:hAnsi="Times New Roman"/>
          <w:b/>
          <w:bCs/>
          <w:sz w:val="28"/>
          <w:szCs w:val="28"/>
        </w:rPr>
        <w:t xml:space="preserve">2.2. Staffing structure of the Department</w:t>
      </w:r>
    </w:p>
    <w:p>
      <w:pPr>
        <w:spacing w:after="120" w:line="360"/>
        <w:ind w:firstLine="709"/>
        <w:jc w:val="both"/>
      </w:pPr>
      <w:r>
        <w:rPr>
          <w:rFonts w:ascii="Times New Roman" w:cs="Times New Roman" w:eastAsia="Times New Roman" w:hAnsi="Times New Roman"/>
          <w:sz w:val="28"/>
          <w:szCs w:val="28"/>
        </w:rPr>
        <w:t xml:space="preserve">The Department consists of the following staff units: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Head of the Department – 1;</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Chief specialist – 1;</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Chief specialist – 1.</w:t>
      </w:r>
    </w:p>
    <w:p>
      <w:pPr>
        <w:pStyle w:val="Heading2"/>
        <w:spacing w:after="120" w:before="160" w:line="360"/>
        <w:jc w:val="center"/>
      </w:pPr>
      <w:r>
        <w:rPr>
          <w:rFonts w:ascii="Times New Roman" w:cs="Times New Roman" w:eastAsia="Times New Roman" w:hAnsi="Times New Roman"/>
          <w:b/>
          <w:bCs/>
          <w:sz w:val="28"/>
          <w:szCs w:val="28"/>
        </w:rPr>
        <w:t xml:space="preserve">2.3. Education quality management system</w:t>
      </w:r>
    </w:p>
    <w:p>
      <w:pPr>
        <w:spacing w:after="120" w:line="360"/>
        <w:ind w:firstLine="709"/>
        <w:jc w:val="both"/>
      </w:pPr>
      <w:r>
        <w:rPr>
          <w:rFonts w:ascii="Times New Roman" w:cs="Times New Roman" w:eastAsia="Times New Roman" w:hAnsi="Times New Roman"/>
          <w:sz w:val="28"/>
          <w:szCs w:val="28"/>
        </w:rPr>
        <w:t xml:space="preserve">TSUOS has a three-tier system for managing, implementing and ensuring the education quality assurance processes. At the first tier, the TSUOS Council is engaged in developing and approving the quality assurance policy, rules, standards and criteria. At the second tier, the Education Quality Control Department ensures, monitors and coordinates the compliance of quality assurance activities with the established requirements. At the third tier, institutes, faculties and other structural divisions implement the quality assurance policy within their fields of activity.</w:t>
      </w:r>
    </w:p>
    <w:p>
      <w:pPr>
        <w:pStyle w:val="Heading1"/>
        <w:spacing w:after="160" w:before="240" w:line="360"/>
        <w:jc w:val="center"/>
      </w:pPr>
      <w:r>
        <w:rPr>
          <w:rFonts w:ascii="Times New Roman" w:cs="Times New Roman" w:eastAsia="Times New Roman" w:hAnsi="Times New Roman"/>
          <w:b/>
          <w:bCs/>
          <w:sz w:val="28"/>
          <w:szCs w:val="28"/>
        </w:rPr>
        <w:t xml:space="preserve">CHAPTER III. OBJECTIVES AND FUNCTIONS OF THE DEPARTMENT</w:t>
      </w:r>
    </w:p>
    <w:p>
      <w:pPr>
        <w:pStyle w:val="Heading2"/>
        <w:spacing w:after="120" w:before="160" w:line="360"/>
        <w:jc w:val="center"/>
      </w:pPr>
      <w:r>
        <w:rPr>
          <w:rFonts w:ascii="Times New Roman" w:cs="Times New Roman" w:eastAsia="Times New Roman" w:hAnsi="Times New Roman"/>
          <w:b/>
          <w:bCs/>
          <w:sz w:val="28"/>
          <w:szCs w:val="28"/>
        </w:rPr>
        <w:t xml:space="preserve">3.1. Objectives and functions of the Department</w:t>
      </w:r>
    </w:p>
    <w:p>
      <w:pPr>
        <w:spacing w:after="120" w:line="360"/>
        <w:ind w:firstLine="709"/>
        <w:jc w:val="both"/>
      </w:pPr>
      <w:r>
        <w:rPr>
          <w:rFonts w:ascii="Times New Roman" w:cs="Times New Roman" w:eastAsia="Times New Roman" w:hAnsi="Times New Roman"/>
          <w:sz w:val="28"/>
          <w:szCs w:val="28"/>
        </w:rPr>
        <w:t xml:space="preserve">The Education Quality Control Department performs the following main tasks:</w:t>
      </w:r>
    </w:p>
    <w:p>
      <w:pPr>
        <w:spacing w:after="100" w:line="360"/>
        <w:ind w:firstLine="709"/>
        <w:jc w:val="both"/>
      </w:pPr>
      <w:r>
        <w:rPr>
          <w:rFonts w:ascii="Times New Roman" w:cs="Times New Roman" w:eastAsia="Times New Roman" w:hAnsi="Times New Roman"/>
          <w:b/>
          <w:bCs/>
          <w:sz w:val="28"/>
          <w:szCs w:val="28"/>
        </w:rPr>
        <w:t xml:space="preserve">1. </w:t>
      </w:r>
      <w:r>
        <w:rPr>
          <w:rFonts w:ascii="Times New Roman" w:cs="Times New Roman" w:eastAsia="Times New Roman" w:hAnsi="Times New Roman"/>
          <w:b w:val="false"/>
          <w:bCs w:val="false"/>
          <w:sz w:val="28"/>
          <w:szCs w:val="28"/>
        </w:rPr>
        <w:t xml:space="preserve"/>
      </w:r>
      <w:r>
        <w:rPr>
          <w:rFonts w:ascii="Times New Roman" w:cs="Times New Roman" w:eastAsia="Times New Roman" w:hAnsi="Times New Roman"/>
          <w:sz w:val="28"/>
          <w:szCs w:val="28"/>
        </w:rPr>
        <w:t xml:space="preserve">To control and monitor the quality of personnel training at the university. Within this task, a thorough study and comprehensive analysis of the compliance of students’ knowledge with state educational standards is carried out. Likewise, processes are organized for the comprehensive assessment of the quality of the educational process and the regular monitoring of the level of knowledge of graduates.</w:t>
      </w:r>
    </w:p>
    <w:p>
      <w:pPr>
        <w:spacing w:after="100" w:line="360"/>
        <w:ind w:firstLine="709"/>
        <w:jc w:val="both"/>
      </w:pPr>
      <w:r>
        <w:rPr>
          <w:rFonts w:ascii="Times New Roman" w:cs="Times New Roman" w:eastAsia="Times New Roman" w:hAnsi="Times New Roman"/>
          <w:b/>
          <w:bCs/>
          <w:sz w:val="28"/>
          <w:szCs w:val="28"/>
        </w:rPr>
        <w:t xml:space="preserve">2. </w:t>
      </w:r>
      <w:r>
        <w:rPr>
          <w:rFonts w:ascii="Times New Roman" w:cs="Times New Roman" w:eastAsia="Times New Roman" w:hAnsi="Times New Roman"/>
          <w:b w:val="false"/>
          <w:bCs w:val="false"/>
          <w:sz w:val="28"/>
          <w:szCs w:val="28"/>
        </w:rPr>
        <w:t xml:space="preserve"/>
      </w:r>
      <w:r>
        <w:rPr>
          <w:rFonts w:ascii="Times New Roman" w:cs="Times New Roman" w:eastAsia="Times New Roman" w:hAnsi="Times New Roman"/>
          <w:sz w:val="28"/>
          <w:szCs w:val="28"/>
        </w:rPr>
        <w:t xml:space="preserve">Aimed at forming a corps of professors and teachers capable of ensuring the quality of education. Within this framework, active participation in the processes of selecting and recruiting talented teachers, creating effective mechanisms to enhance their professional mastery and qualifications, as well as introducing a transparent and objective assessment system, is carried out.</w:t>
      </w:r>
    </w:p>
    <w:p>
      <w:pPr>
        <w:spacing w:after="100" w:line="360"/>
        <w:ind w:firstLine="709"/>
        <w:jc w:val="both"/>
      </w:pPr>
      <w:r>
        <w:rPr>
          <w:rFonts w:ascii="Times New Roman" w:cs="Times New Roman" w:eastAsia="Times New Roman" w:hAnsi="Times New Roman"/>
          <w:b/>
          <w:bCs/>
          <w:sz w:val="28"/>
          <w:szCs w:val="28"/>
        </w:rPr>
        <w:t xml:space="preserve">3. </w:t>
      </w:r>
      <w:r>
        <w:rPr>
          <w:rFonts w:ascii="Times New Roman" w:cs="Times New Roman" w:eastAsia="Times New Roman" w:hAnsi="Times New Roman"/>
          <w:b w:val="false"/>
          <w:bCs w:val="false"/>
          <w:sz w:val="28"/>
          <w:szCs w:val="28"/>
        </w:rPr>
        <w:t xml:space="preserve"/>
      </w:r>
      <w:r>
        <w:rPr>
          <w:rFonts w:ascii="Times New Roman" w:cs="Times New Roman" w:eastAsia="Times New Roman" w:hAnsi="Times New Roman"/>
          <w:sz w:val="28"/>
          <w:szCs w:val="28"/>
        </w:rPr>
        <w:t xml:space="preserve">Includes the regular analysis of the quality of teaching by professors and teachers. In this process, the comprehensive assessment of pedagogical mastery, continuous monitoring of KPI (Key Performance Indicators), in-depth analysis of the results of student evaluation of teachers, and encouragement of the application of innovative teaching methods are carried out.</w:t>
      </w:r>
    </w:p>
    <w:p>
      <w:pPr>
        <w:spacing w:after="100" w:line="360"/>
        <w:ind w:firstLine="709"/>
        <w:jc w:val="both"/>
      </w:pPr>
      <w:r>
        <w:rPr>
          <w:rFonts w:ascii="Times New Roman" w:cs="Times New Roman" w:eastAsia="Times New Roman" w:hAnsi="Times New Roman"/>
          <w:b/>
          <w:bCs/>
          <w:sz w:val="28"/>
          <w:szCs w:val="28"/>
        </w:rPr>
        <w:t xml:space="preserve">4. </w:t>
      </w:r>
      <w:r>
        <w:rPr>
          <w:rFonts w:ascii="Times New Roman" w:cs="Times New Roman" w:eastAsia="Times New Roman" w:hAnsi="Times New Roman"/>
          <w:b w:val="false"/>
          <w:bCs w:val="false"/>
          <w:sz w:val="28"/>
          <w:szCs w:val="28"/>
        </w:rPr>
        <w:t xml:space="preserve"/>
      </w:r>
      <w:r>
        <w:rPr>
          <w:rFonts w:ascii="Times New Roman" w:cs="Times New Roman" w:eastAsia="Times New Roman" w:hAnsi="Times New Roman"/>
          <w:sz w:val="28"/>
          <w:szCs w:val="28"/>
        </w:rPr>
        <w:t xml:space="preserve">To organize the university’s internal assessment at a professional level. Within this task, thorough planning and conduct of self-assessment processes, regular organization of internal audits, and preparation of comprehensive assessment reports at a professional level are carried out.</w:t>
      </w:r>
    </w:p>
    <w:p>
      <w:pPr>
        <w:spacing w:after="100" w:line="360"/>
        <w:ind w:firstLine="709"/>
        <w:jc w:val="both"/>
      </w:pPr>
      <w:r>
        <w:rPr>
          <w:rFonts w:ascii="Times New Roman" w:cs="Times New Roman" w:eastAsia="Times New Roman" w:hAnsi="Times New Roman"/>
          <w:b/>
          <w:bCs/>
          <w:sz w:val="28"/>
          <w:szCs w:val="28"/>
        </w:rPr>
        <w:t xml:space="preserve">5. </w:t>
      </w:r>
      <w:r>
        <w:rPr>
          <w:rFonts w:ascii="Times New Roman" w:cs="Times New Roman" w:eastAsia="Times New Roman" w:hAnsi="Times New Roman"/>
          <w:b w:val="false"/>
          <w:bCs w:val="false"/>
          <w:sz w:val="28"/>
          <w:szCs w:val="28"/>
        </w:rPr>
        <w:t xml:space="preserve"/>
      </w:r>
      <w:r>
        <w:rPr>
          <w:rFonts w:ascii="Times New Roman" w:cs="Times New Roman" w:eastAsia="Times New Roman" w:hAnsi="Times New Roman"/>
          <w:sz w:val="28"/>
          <w:szCs w:val="28"/>
        </w:rPr>
        <w:t xml:space="preserve">Aimed at reviewing effective measures to eliminate existing shortcomings. Within this framework, developing an improvement-measures plan for the identified problems, regularly monitoring the implementation of measures, and objectively assessing their effectiveness are carried out.</w:t>
      </w:r>
    </w:p>
    <w:p>
      <w:pPr>
        <w:spacing w:after="100" w:line="360"/>
        <w:ind w:firstLine="709"/>
        <w:jc w:val="both"/>
      </w:pPr>
      <w:r>
        <w:rPr>
          <w:rFonts w:ascii="Times New Roman" w:cs="Times New Roman" w:eastAsia="Times New Roman" w:hAnsi="Times New Roman"/>
          <w:b/>
          <w:bCs/>
          <w:sz w:val="28"/>
          <w:szCs w:val="28"/>
        </w:rPr>
        <w:t xml:space="preserve">6. </w:t>
      </w:r>
      <w:r>
        <w:rPr>
          <w:rFonts w:ascii="Times New Roman" w:cs="Times New Roman" w:eastAsia="Times New Roman" w:hAnsi="Times New Roman"/>
          <w:b w:val="false"/>
          <w:bCs w:val="false"/>
          <w:sz w:val="28"/>
          <w:szCs w:val="28"/>
        </w:rPr>
        <w:t xml:space="preserve"/>
      </w:r>
      <w:r>
        <w:rPr>
          <w:rFonts w:ascii="Times New Roman" w:cs="Times New Roman" w:eastAsia="Times New Roman" w:hAnsi="Times New Roman"/>
          <w:sz w:val="28"/>
          <w:szCs w:val="28"/>
        </w:rPr>
        <w:t xml:space="preserve">To control that the educational process is correctly organized on the basis of the requirements of normative-legal documents. Within this task, checking the full compliance of curricula and programmes with state standards, ensuring the compliance of subject programmes with professional standards, and continuously monitoring the compliance of study workloads with the norms are carried out.</w:t>
      </w:r>
    </w:p>
    <w:p>
      <w:pPr>
        <w:spacing w:after="100" w:line="360"/>
        <w:ind w:firstLine="709"/>
        <w:jc w:val="both"/>
      </w:pPr>
      <w:r>
        <w:rPr>
          <w:rFonts w:ascii="Times New Roman" w:cs="Times New Roman" w:eastAsia="Times New Roman" w:hAnsi="Times New Roman"/>
          <w:b/>
          <w:bCs/>
          <w:sz w:val="28"/>
          <w:szCs w:val="28"/>
        </w:rPr>
        <w:t xml:space="preserve">7. </w:t>
      </w:r>
      <w:r>
        <w:rPr>
          <w:rFonts w:ascii="Times New Roman" w:cs="Times New Roman" w:eastAsia="Times New Roman" w:hAnsi="Times New Roman"/>
          <w:b w:val="false"/>
          <w:bCs w:val="false"/>
          <w:sz w:val="28"/>
          <w:szCs w:val="28"/>
        </w:rPr>
        <w:t xml:space="preserve"/>
      </w:r>
      <w:r>
        <w:rPr>
          <w:rFonts w:ascii="Times New Roman" w:cs="Times New Roman" w:eastAsia="Times New Roman" w:hAnsi="Times New Roman"/>
          <w:sz w:val="28"/>
          <w:szCs w:val="28"/>
        </w:rPr>
        <w:t xml:space="preserve">Devoted to studying and analysing the effectiveness of the use of the HEMIS, MOODLE and APS systems. In this process, monitoring the completeness of data entry into the digital platforms, professionally assessing the quality of the electronic educational content, and developing practical recommendations on the optimal use of the systems are carried out.</w:t>
      </w:r>
    </w:p>
    <w:p>
      <w:pPr>
        <w:spacing w:after="100" w:line="360"/>
        <w:ind w:firstLine="709"/>
        <w:jc w:val="both"/>
      </w:pPr>
      <w:r>
        <w:rPr>
          <w:rFonts w:ascii="Times New Roman" w:cs="Times New Roman" w:eastAsia="Times New Roman" w:hAnsi="Times New Roman"/>
          <w:b/>
          <w:bCs/>
          <w:sz w:val="28"/>
          <w:szCs w:val="28"/>
        </w:rPr>
        <w:t xml:space="preserve">8. </w:t>
      </w:r>
      <w:r>
        <w:rPr>
          <w:rFonts w:ascii="Times New Roman" w:cs="Times New Roman" w:eastAsia="Times New Roman" w:hAnsi="Times New Roman"/>
          <w:b w:val="false"/>
          <w:bCs w:val="false"/>
          <w:sz w:val="28"/>
          <w:szCs w:val="28"/>
        </w:rPr>
        <w:t xml:space="preserve"/>
      </w:r>
      <w:r>
        <w:rPr>
          <w:rFonts w:ascii="Times New Roman" w:cs="Times New Roman" w:eastAsia="Times New Roman" w:hAnsi="Times New Roman"/>
          <w:sz w:val="28"/>
          <w:szCs w:val="28"/>
        </w:rPr>
        <w:t xml:space="preserve">Envisages analysing the compliance of qualification requirements, curricula and programmes with professional standards and labour-market requirements for the training of competitive personnel. Within this framework, continuously updating qualification requirements in effective cooperation with employers, incorporating field innovations and novelties into curricula in a timely manner, and regularly monitoring the adaptation of graduates to the labour market are carried out.</w:t>
      </w:r>
    </w:p>
    <w:p>
      <w:pPr>
        <w:spacing w:after="100" w:line="360"/>
        <w:ind w:firstLine="709"/>
        <w:jc w:val="both"/>
      </w:pPr>
      <w:r>
        <w:rPr>
          <w:rFonts w:ascii="Times New Roman" w:cs="Times New Roman" w:eastAsia="Times New Roman" w:hAnsi="Times New Roman"/>
          <w:b/>
          <w:bCs/>
          <w:sz w:val="28"/>
          <w:szCs w:val="28"/>
        </w:rPr>
        <w:t xml:space="preserve">9. </w:t>
      </w:r>
      <w:r>
        <w:rPr>
          <w:rFonts w:ascii="Times New Roman" w:cs="Times New Roman" w:eastAsia="Times New Roman" w:hAnsi="Times New Roman"/>
          <w:b w:val="false"/>
          <w:bCs w:val="false"/>
          <w:sz w:val="28"/>
          <w:szCs w:val="28"/>
        </w:rPr>
        <w:t xml:space="preserve"/>
      </w:r>
      <w:r>
        <w:rPr>
          <w:rFonts w:ascii="Times New Roman" w:cs="Times New Roman" w:eastAsia="Times New Roman" w:hAnsi="Times New Roman"/>
          <w:sz w:val="28"/>
          <w:szCs w:val="28"/>
        </w:rPr>
        <w:t xml:space="preserve">Consists of studying and analysing whether independent learning is organized at the required level. Within this task, checking the availability of guidelines and methodological recommendations for independent work, objectively assessing the formation of the student workload, and thoroughly studying the effectiveness of independent-learning platforms are carried out.</w:t>
      </w:r>
    </w:p>
    <w:p>
      <w:pPr>
        <w:spacing w:after="100" w:line="360"/>
        <w:ind w:firstLine="709"/>
        <w:jc w:val="both"/>
      </w:pPr>
      <w:r>
        <w:rPr>
          <w:rFonts w:ascii="Times New Roman" w:cs="Times New Roman" w:eastAsia="Times New Roman" w:hAnsi="Times New Roman"/>
          <w:b/>
          <w:bCs/>
          <w:sz w:val="28"/>
          <w:szCs w:val="28"/>
        </w:rPr>
        <w:t xml:space="preserve">10. </w:t>
      </w:r>
      <w:r>
        <w:rPr>
          <w:rFonts w:ascii="Times New Roman" w:cs="Times New Roman" w:eastAsia="Times New Roman" w:hAnsi="Times New Roman"/>
          <w:b w:val="false"/>
          <w:bCs w:val="false"/>
          <w:sz w:val="28"/>
          <w:szCs w:val="28"/>
        </w:rPr>
        <w:t xml:space="preserve"/>
      </w:r>
      <w:r>
        <w:rPr>
          <w:rFonts w:ascii="Times New Roman" w:cs="Times New Roman" w:eastAsia="Times New Roman" w:hAnsi="Times New Roman"/>
          <w:sz w:val="28"/>
          <w:szCs w:val="28"/>
        </w:rPr>
        <w:t xml:space="preserve">Consists of controlling the process of integrating artificial intelligence technologies into the subjects. Within this framework, supporting the use of AI tools for pedagogical purposes, ensuring the ethical use of ChatGPT, Gemini and other AI platforms in education, and enhancing the AI competencies of professors and teachers are carried out.</w:t>
      </w:r>
    </w:p>
    <w:p>
      <w:pPr>
        <w:spacing w:after="100" w:line="360"/>
        <w:ind w:firstLine="709"/>
        <w:jc w:val="both"/>
      </w:pPr>
      <w:r>
        <w:rPr>
          <w:rFonts w:ascii="Times New Roman" w:cs="Times New Roman" w:eastAsia="Times New Roman" w:hAnsi="Times New Roman"/>
          <w:b/>
          <w:bCs/>
          <w:sz w:val="28"/>
          <w:szCs w:val="28"/>
        </w:rPr>
        <w:t xml:space="preserve">11. </w:t>
      </w:r>
      <w:r>
        <w:rPr>
          <w:rFonts w:ascii="Times New Roman" w:cs="Times New Roman" w:eastAsia="Times New Roman" w:hAnsi="Times New Roman"/>
          <w:b w:val="false"/>
          <w:bCs w:val="false"/>
          <w:sz w:val="28"/>
          <w:szCs w:val="28"/>
        </w:rPr>
        <w:t xml:space="preserve"/>
      </w:r>
      <w:r>
        <w:rPr>
          <w:rFonts w:ascii="Times New Roman" w:cs="Times New Roman" w:eastAsia="Times New Roman" w:hAnsi="Times New Roman"/>
          <w:sz w:val="28"/>
          <w:szCs w:val="28"/>
        </w:rPr>
        <w:t xml:space="preserve">Includes conducting surveys among students, employers and graduates and analysing the results. Within this task, studying student satisfaction, regularly collecting the opinions of employers, and monitoring the careers of graduates are carried out at a professional level.</w:t>
      </w:r>
    </w:p>
    <w:p>
      <w:pPr>
        <w:spacing w:after="100" w:line="360"/>
        <w:ind w:firstLine="709"/>
        <w:jc w:val="both"/>
      </w:pPr>
      <w:r>
        <w:rPr>
          <w:rFonts w:ascii="Times New Roman" w:cs="Times New Roman" w:eastAsia="Times New Roman" w:hAnsi="Times New Roman"/>
          <w:b/>
          <w:bCs/>
          <w:sz w:val="28"/>
          <w:szCs w:val="28"/>
        </w:rPr>
        <w:t xml:space="preserve">12. </w:t>
      </w:r>
      <w:r>
        <w:rPr>
          <w:rFonts w:ascii="Times New Roman" w:cs="Times New Roman" w:eastAsia="Times New Roman" w:hAnsi="Times New Roman"/>
          <w:b w:val="false"/>
          <w:bCs w:val="false"/>
          <w:sz w:val="28"/>
          <w:szCs w:val="28"/>
        </w:rPr>
        <w:t xml:space="preserve"/>
      </w:r>
      <w:r>
        <w:rPr>
          <w:rFonts w:ascii="Times New Roman" w:cs="Times New Roman" w:eastAsia="Times New Roman" w:hAnsi="Times New Roman"/>
          <w:sz w:val="28"/>
          <w:szCs w:val="28"/>
        </w:rPr>
        <w:t xml:space="preserve">Consists of studying the professional development of professors and teachers and the incorporation of innovations into the subjects. In this process, continuously monitoring the results of advanced training, encouraging the introduction of new teaching methods, and comprehensively supporting international cooperation and mobility are carried out.</w:t>
      </w:r>
    </w:p>
    <w:p>
      <w:pPr>
        <w:spacing w:after="100" w:line="360"/>
        <w:ind w:firstLine="709"/>
        <w:jc w:val="both"/>
      </w:pPr>
      <w:r>
        <w:rPr>
          <w:rFonts w:ascii="Times New Roman" w:cs="Times New Roman" w:eastAsia="Times New Roman" w:hAnsi="Times New Roman"/>
          <w:b/>
          <w:bCs/>
          <w:sz w:val="28"/>
          <w:szCs w:val="28"/>
        </w:rPr>
        <w:t xml:space="preserve">13. </w:t>
      </w:r>
      <w:r>
        <w:rPr>
          <w:rFonts w:ascii="Times New Roman" w:cs="Times New Roman" w:eastAsia="Times New Roman" w:hAnsi="Times New Roman"/>
          <w:b w:val="false"/>
          <w:bCs w:val="false"/>
          <w:sz w:val="28"/>
          <w:szCs w:val="28"/>
        </w:rPr>
        <w:t xml:space="preserve"/>
      </w:r>
      <w:r>
        <w:rPr>
          <w:rFonts w:ascii="Times New Roman" w:cs="Times New Roman" w:eastAsia="Times New Roman" w:hAnsi="Times New Roman"/>
          <w:sz w:val="28"/>
          <w:szCs w:val="28"/>
        </w:rPr>
        <w:t xml:space="preserve">Aimed at active participation in processes related to attestation and the study of education quality. Within this framework, participating in the attestation of professors and teachers, playing an active role in the attestation of the activities of faculties and departments, and professional participation in the processes of awarding academic degrees are carried out.</w:t>
      </w:r>
    </w:p>
    <w:p>
      <w:pPr>
        <w:spacing w:after="100" w:line="360"/>
        <w:ind w:firstLine="709"/>
        <w:jc w:val="both"/>
      </w:pPr>
      <w:r>
        <w:rPr>
          <w:rFonts w:ascii="Times New Roman" w:cs="Times New Roman" w:eastAsia="Times New Roman" w:hAnsi="Times New Roman"/>
          <w:b/>
          <w:bCs/>
          <w:sz w:val="28"/>
          <w:szCs w:val="28"/>
        </w:rPr>
        <w:t xml:space="preserve">14. </w:t>
      </w:r>
      <w:r>
        <w:rPr>
          <w:rFonts w:ascii="Times New Roman" w:cs="Times New Roman" w:eastAsia="Times New Roman" w:hAnsi="Times New Roman"/>
          <w:b w:val="false"/>
          <w:bCs w:val="false"/>
          <w:sz w:val="28"/>
          <w:szCs w:val="28"/>
        </w:rPr>
        <w:t xml:space="preserve"/>
      </w:r>
      <w:r>
        <w:rPr>
          <w:rFonts w:ascii="Times New Roman" w:cs="Times New Roman" w:eastAsia="Times New Roman" w:hAnsi="Times New Roman"/>
          <w:sz w:val="28"/>
          <w:szCs w:val="28"/>
        </w:rPr>
        <w:t xml:space="preserve">Consists of developing recommendations for optimizing the digital platforms (MOODLE, HEMIS, APS). Within this task, comprehensively analysing the effectiveness of the systems, thoroughly studying user experience, and carefully presenting practical improvement proposals are carried out.</w:t>
      </w:r>
    </w:p>
    <w:p>
      <w:pPr>
        <w:spacing w:after="100" w:line="360"/>
        <w:ind w:firstLine="709"/>
        <w:jc w:val="both"/>
      </w:pPr>
      <w:r>
        <w:rPr>
          <w:rFonts w:ascii="Times New Roman" w:cs="Times New Roman" w:eastAsia="Times New Roman" w:hAnsi="Times New Roman"/>
          <w:b/>
          <w:bCs/>
          <w:sz w:val="28"/>
          <w:szCs w:val="28"/>
        </w:rPr>
        <w:t xml:space="preserve">15. </w:t>
      </w:r>
      <w:r>
        <w:rPr>
          <w:rFonts w:ascii="Times New Roman" w:cs="Times New Roman" w:eastAsia="Times New Roman" w:hAnsi="Times New Roman"/>
          <w:b w:val="false"/>
          <w:bCs w:val="false"/>
          <w:sz w:val="28"/>
          <w:szCs w:val="28"/>
        </w:rPr>
        <w:t xml:space="preserve"/>
      </w:r>
      <w:r>
        <w:rPr>
          <w:rFonts w:ascii="Times New Roman" w:cs="Times New Roman" w:eastAsia="Times New Roman" w:hAnsi="Times New Roman"/>
          <w:sz w:val="28"/>
          <w:szCs w:val="28"/>
        </w:rPr>
        <w:t xml:space="preserve">Devoted to introducing the KPI system and monitoring it. In this process, professionally developing KPI indicators for professors and teachers, regularly collecting and thoroughly analysing KPI results, and effectively linking this system with the incentive system are carried out.</w:t>
      </w:r>
    </w:p>
    <w:p>
      <w:pPr>
        <w:pStyle w:val="Heading1"/>
        <w:spacing w:after="160" w:before="240" w:line="360"/>
        <w:jc w:val="center"/>
      </w:pPr>
      <w:r>
        <w:rPr>
          <w:rFonts w:ascii="Times New Roman" w:cs="Times New Roman" w:eastAsia="Times New Roman" w:hAnsi="Times New Roman"/>
          <w:b/>
          <w:bCs/>
          <w:sz w:val="28"/>
          <w:szCs w:val="28"/>
        </w:rPr>
        <w:t xml:space="preserve">CHAPTER IV. EDUCATION QUALITY STANDARDS AND CRITERIA</w:t>
      </w:r>
    </w:p>
    <w:p>
      <w:pPr>
        <w:pStyle w:val="Heading2"/>
        <w:spacing w:after="120" w:before="160" w:line="360"/>
        <w:jc w:val="center"/>
      </w:pPr>
      <w:r>
        <w:rPr>
          <w:rFonts w:ascii="Times New Roman" w:cs="Times New Roman" w:eastAsia="Times New Roman" w:hAnsi="Times New Roman"/>
          <w:b/>
          <w:bCs/>
          <w:sz w:val="28"/>
          <w:szCs w:val="28"/>
        </w:rPr>
        <w:t xml:space="preserve">4.1. Involvement of principal stakeholders</w:t>
      </w:r>
    </w:p>
    <w:p>
      <w:pPr>
        <w:spacing w:after="120" w:line="360"/>
        <w:ind w:firstLine="709"/>
        <w:jc w:val="both"/>
      </w:pPr>
      <w:r>
        <w:rPr>
          <w:rFonts w:ascii="Times New Roman" w:cs="Times New Roman" w:eastAsia="Times New Roman" w:hAnsi="Times New Roman"/>
          <w:sz w:val="28"/>
          <w:szCs w:val="28"/>
        </w:rPr>
        <w:t xml:space="preserve">The Tashkent State University of Oriental Studies (TSUOS) involves internal (professors and teachers, students, staff) and external (employers, graduates) stakeholders in its governance. In this process, the broad participation of internal stakeholders is ensured, external stakeholders are involved in development, employers and users of educational services and students actively participate in self-governance bodies, and graduates contribute to improving the quality of education by creating a graduate network and launching programmes. Based on the needs for modern personnel, changes and additions are introduced into the educational programme on the basis of the proposals of employers and former graduates.</w:t>
      </w:r>
    </w:p>
    <w:p>
      <w:pPr>
        <w:pStyle w:val="Heading2"/>
        <w:spacing w:after="120" w:before="160" w:line="360"/>
        <w:jc w:val="center"/>
      </w:pPr>
      <w:r>
        <w:rPr>
          <w:rFonts w:ascii="Times New Roman" w:cs="Times New Roman" w:eastAsia="Times New Roman" w:hAnsi="Times New Roman"/>
          <w:b/>
          <w:bCs/>
          <w:sz w:val="28"/>
          <w:szCs w:val="28"/>
        </w:rPr>
        <w:t xml:space="preserve">4.2. Distance education (online education)</w:t>
      </w:r>
    </w:p>
    <w:p>
      <w:pPr>
        <w:spacing w:after="120" w:line="360"/>
        <w:ind w:firstLine="709"/>
        <w:jc w:val="both"/>
      </w:pPr>
      <w:r>
        <w:rPr>
          <w:rFonts w:ascii="Times New Roman" w:cs="Times New Roman" w:eastAsia="Times New Roman" w:hAnsi="Times New Roman"/>
          <w:sz w:val="28"/>
          <w:szCs w:val="28"/>
        </w:rPr>
        <w:t xml:space="preserve">The Education Quality Control Department applies a comprehensive approach based on international experience to ensure the quality of distance education (online education). In this respect, clear policies and standards concerning distance education are first developed and harmonized with the university’s overall education quality system. Compliance with technically stable and secure infrastructures (LMS: Moodle/HEMIS integration, server reliability, data protection policy) is monitored; continuous academic and technical support for students in distance learning (tutors, consultations, technical help) is organized; and the educational process is assessed through monitoring, and learning is assessed through learning-outcome analysis.</w:t>
      </w:r>
    </w:p>
    <w:p>
      <w:pPr>
        <w:spacing w:after="120" w:line="360"/>
        <w:ind w:firstLine="709"/>
        <w:jc w:val="both"/>
      </w:pPr>
      <w:r>
        <w:rPr>
          <w:rFonts w:ascii="Times New Roman" w:cs="Times New Roman" w:eastAsia="Times New Roman" w:hAnsi="Times New Roman"/>
          <w:sz w:val="28"/>
          <w:szCs w:val="28"/>
        </w:rPr>
        <w:t xml:space="preserve">The assessment system is adapted to the distance environment: reliable test design for teachers, project and written works, open and transparent criteria, an offline-meeting policy where necessary, and technical and organizational measures against intellectual fraud are introduced. Enhancing the qualifications of teachers is carried out on a continuous basis – training on distance-education methodologies, effective use of LMS platforms, fairness of assessment and the ethical use of AI technologies is conducted. Internal quality-assessment processes are repeated regularly, and on the basis of the results, continuous-improvement measures are planned; likewise, the opinions of graduates and employers, the requirements of international accreditation, and comparable indicators are taken into account.</w:t>
      </w:r>
    </w:p>
    <w:p>
      <w:pPr>
        <w:pStyle w:val="Heading1"/>
        <w:spacing w:after="160" w:before="240" w:line="360"/>
        <w:jc w:val="center"/>
      </w:pPr>
      <w:r>
        <w:rPr>
          <w:rFonts w:ascii="Times New Roman" w:cs="Times New Roman" w:eastAsia="Times New Roman" w:hAnsi="Times New Roman"/>
          <w:b/>
          <w:bCs/>
          <w:sz w:val="28"/>
          <w:szCs w:val="28"/>
        </w:rPr>
        <w:t xml:space="preserve">CHAPTER V. INDICATORS FOR ASSESSING THE ACTIVITIES OF PROFESSORS AND TEACHERS (KPI)</w:t>
      </w:r>
    </w:p>
    <w:p>
      <w:pPr>
        <w:pStyle w:val="Heading2"/>
        <w:spacing w:after="120" w:before="160" w:line="360"/>
        <w:jc w:val="center"/>
      </w:pPr>
      <w:r>
        <w:rPr>
          <w:rFonts w:ascii="Times New Roman" w:cs="Times New Roman" w:eastAsia="Times New Roman" w:hAnsi="Times New Roman"/>
          <w:b/>
          <w:bCs/>
          <w:sz w:val="28"/>
          <w:szCs w:val="28"/>
        </w:rPr>
        <w:t xml:space="preserve">5.1. Establishment and activity of the Group of Experts</w:t>
      </w:r>
    </w:p>
    <w:p>
      <w:pPr>
        <w:spacing w:after="120" w:line="360"/>
        <w:ind w:firstLine="709"/>
        <w:jc w:val="both"/>
      </w:pPr>
      <w:r>
        <w:rPr>
          <w:rFonts w:ascii="Times New Roman" w:cs="Times New Roman" w:eastAsia="Times New Roman" w:hAnsi="Times New Roman"/>
          <w:sz w:val="28"/>
          <w:szCs w:val="28"/>
        </w:rPr>
        <w:t xml:space="preserve">For the purpose of objectively and professionally assessing the activities of professors and teachers, monitoring the quality of classes, and identifying and disseminating best practices in the educational process, the EQC Department establishes a Group of Experts. The Group of Experts includes 10 professors and teachers of the university who are experienced, possess modern knowledge and hold academic degrees. The members of the Group are approved by the University Council at the beginning of each academic year and confirmed by the order of the Rector. Professors and teachers meeting the following criteria are selected for the Group of Experts:</w:t>
      </w:r>
    </w:p>
    <w:p>
      <w:pPr>
        <w:spacing w:after="100" w:line="360"/>
        <w:ind w:firstLine="709"/>
        <w:jc w:val="both"/>
      </w:pPr>
      <w:r>
        <w:rPr>
          <w:rFonts w:ascii="Times New Roman" w:cs="Times New Roman" w:eastAsia="Times New Roman" w:hAnsi="Times New Roman"/>
          <w:b/>
          <w:bCs/>
          <w:sz w:val="28"/>
          <w:szCs w:val="28"/>
        </w:rPr>
        <w:t xml:space="preserve">1. </w:t>
      </w:r>
      <w:r>
        <w:rPr>
          <w:rFonts w:ascii="Times New Roman" w:cs="Times New Roman" w:eastAsia="Times New Roman" w:hAnsi="Times New Roman"/>
          <w:b w:val="false"/>
          <w:bCs w:val="false"/>
          <w:sz w:val="28"/>
          <w:szCs w:val="28"/>
        </w:rPr>
        <w:t xml:space="preserve">Academic degree and title: </w:t>
      </w:r>
      <w:r>
        <w:rPr>
          <w:rFonts w:ascii="Times New Roman" w:cs="Times New Roman" w:eastAsia="Times New Roman" w:hAnsi="Times New Roman"/>
          <w:sz w:val="28"/>
          <w:szCs w:val="28"/>
        </w:rPr>
        <w:t xml:space="preserve">must hold the degree of Doctor of Science (DSc), Doctor of Philosophy (PhD), or the academic title of associate professor (dotsent) or professor;</w:t>
      </w:r>
    </w:p>
    <w:p>
      <w:pPr>
        <w:spacing w:after="100" w:line="360"/>
        <w:ind w:firstLine="709"/>
        <w:jc w:val="both"/>
      </w:pPr>
      <w:r>
        <w:rPr>
          <w:rFonts w:ascii="Times New Roman" w:cs="Times New Roman" w:eastAsia="Times New Roman" w:hAnsi="Times New Roman"/>
          <w:b/>
          <w:bCs/>
          <w:sz w:val="28"/>
          <w:szCs w:val="28"/>
        </w:rPr>
        <w:t xml:space="preserve">2. </w:t>
      </w:r>
      <w:r>
        <w:rPr>
          <w:rFonts w:ascii="Times New Roman" w:cs="Times New Roman" w:eastAsia="Times New Roman" w:hAnsi="Times New Roman"/>
          <w:b w:val="false"/>
          <w:bCs w:val="false"/>
          <w:sz w:val="28"/>
          <w:szCs w:val="28"/>
        </w:rPr>
        <w:t xml:space="preserve">Pedagogical experience: </w:t>
      </w:r>
      <w:r>
        <w:rPr>
          <w:rFonts w:ascii="Times New Roman" w:cs="Times New Roman" w:eastAsia="Times New Roman" w:hAnsi="Times New Roman"/>
          <w:sz w:val="28"/>
          <w:szCs w:val="28"/>
        </w:rPr>
        <w:t xml:space="preserve">must have at least 5 years of teaching experience at higher education institutions;</w:t>
      </w:r>
    </w:p>
    <w:p>
      <w:pPr>
        <w:spacing w:after="100" w:line="360"/>
        <w:ind w:firstLine="709"/>
        <w:jc w:val="both"/>
      </w:pPr>
      <w:r>
        <w:rPr>
          <w:rFonts w:ascii="Times New Roman" w:cs="Times New Roman" w:eastAsia="Times New Roman" w:hAnsi="Times New Roman"/>
          <w:b/>
          <w:bCs/>
          <w:sz w:val="28"/>
          <w:szCs w:val="28"/>
        </w:rPr>
        <w:t xml:space="preserve">3. </w:t>
      </w:r>
      <w:r>
        <w:rPr>
          <w:rFonts w:ascii="Times New Roman" w:cs="Times New Roman" w:eastAsia="Times New Roman" w:hAnsi="Times New Roman"/>
          <w:b w:val="false"/>
          <w:bCs w:val="false"/>
          <w:sz w:val="28"/>
          <w:szCs w:val="28"/>
        </w:rPr>
        <w:t xml:space="preserve">Scientific activity: </w:t>
      </w:r>
      <w:r>
        <w:rPr>
          <w:rFonts w:ascii="Times New Roman" w:cs="Times New Roman" w:eastAsia="Times New Roman" w:hAnsi="Times New Roman"/>
          <w:sz w:val="28"/>
          <w:szCs w:val="28"/>
        </w:rPr>
        <w:t xml:space="preserve">must have published at least 2 articles in journals included in the Scopus or Web of Science databases within the last 5 years;</w:t>
      </w:r>
    </w:p>
    <w:p>
      <w:pPr>
        <w:spacing w:after="100" w:line="360"/>
        <w:ind w:firstLine="709"/>
        <w:jc w:val="both"/>
      </w:pPr>
      <w:r>
        <w:rPr>
          <w:rFonts w:ascii="Times New Roman" w:cs="Times New Roman" w:eastAsia="Times New Roman" w:hAnsi="Times New Roman"/>
          <w:b/>
          <w:bCs/>
          <w:sz w:val="28"/>
          <w:szCs w:val="28"/>
        </w:rPr>
        <w:t xml:space="preserve">4. </w:t>
      </w:r>
      <w:r>
        <w:rPr>
          <w:rFonts w:ascii="Times New Roman" w:cs="Times New Roman" w:eastAsia="Times New Roman" w:hAnsi="Times New Roman"/>
          <w:b w:val="false"/>
          <w:bCs w:val="false"/>
          <w:sz w:val="28"/>
          <w:szCs w:val="28"/>
        </w:rPr>
        <w:t xml:space="preserve">Modern methods: </w:t>
      </w:r>
      <w:r>
        <w:rPr>
          <w:rFonts w:ascii="Times New Roman" w:cs="Times New Roman" w:eastAsia="Times New Roman" w:hAnsi="Times New Roman"/>
          <w:sz w:val="28"/>
          <w:szCs w:val="28"/>
        </w:rPr>
        <w:t xml:space="preserve">must have skills in using innovative teaching methods, digital technologies and AI tools;</w:t>
      </w:r>
    </w:p>
    <w:p>
      <w:pPr>
        <w:spacing w:after="100" w:line="360"/>
        <w:ind w:firstLine="709"/>
        <w:jc w:val="both"/>
      </w:pPr>
      <w:r>
        <w:rPr>
          <w:rFonts w:ascii="Times New Roman" w:cs="Times New Roman" w:eastAsia="Times New Roman" w:hAnsi="Times New Roman"/>
          <w:b/>
          <w:bCs/>
          <w:sz w:val="28"/>
          <w:szCs w:val="28"/>
        </w:rPr>
        <w:t xml:space="preserve">5. </w:t>
      </w:r>
      <w:r>
        <w:rPr>
          <w:rFonts w:ascii="Times New Roman" w:cs="Times New Roman" w:eastAsia="Times New Roman" w:hAnsi="Times New Roman"/>
          <w:b w:val="false"/>
          <w:bCs w:val="false"/>
          <w:sz w:val="28"/>
          <w:szCs w:val="28"/>
        </w:rPr>
        <w:t xml:space="preserve">International experience: </w:t>
      </w:r>
      <w:r>
        <w:rPr>
          <w:rFonts w:ascii="Times New Roman" w:cs="Times New Roman" w:eastAsia="Times New Roman" w:hAnsi="Times New Roman"/>
          <w:sz w:val="28"/>
          <w:szCs w:val="28"/>
        </w:rPr>
        <w:t xml:space="preserve">must have experience of participating in international conferences and international cooperation;</w:t>
      </w:r>
    </w:p>
    <w:p>
      <w:pPr>
        <w:spacing w:after="100" w:line="360"/>
        <w:ind w:firstLine="709"/>
        <w:jc w:val="both"/>
      </w:pPr>
      <w:r>
        <w:rPr>
          <w:rFonts w:ascii="Times New Roman" w:cs="Times New Roman" w:eastAsia="Times New Roman" w:hAnsi="Times New Roman"/>
          <w:b/>
          <w:bCs/>
          <w:sz w:val="28"/>
          <w:szCs w:val="28"/>
        </w:rPr>
        <w:t xml:space="preserve">6. </w:t>
      </w:r>
      <w:r>
        <w:rPr>
          <w:rFonts w:ascii="Times New Roman" w:cs="Times New Roman" w:eastAsia="Times New Roman" w:hAnsi="Times New Roman"/>
          <w:b w:val="false"/>
          <w:bCs w:val="false"/>
          <w:sz w:val="28"/>
          <w:szCs w:val="28"/>
        </w:rPr>
        <w:t xml:space="preserve">KPI indicators: </w:t>
      </w:r>
      <w:r>
        <w:rPr>
          <w:rFonts w:ascii="Times New Roman" w:cs="Times New Roman" w:eastAsia="Times New Roman" w:hAnsi="Times New Roman"/>
          <w:sz w:val="28"/>
          <w:szCs w:val="28"/>
        </w:rPr>
        <w:t xml:space="preserve">must have KPI results above 85% in the last academic year;</w:t>
      </w:r>
    </w:p>
    <w:p>
      <w:pPr>
        <w:spacing w:after="100" w:line="360"/>
        <w:ind w:firstLine="709"/>
        <w:jc w:val="both"/>
      </w:pPr>
      <w:r>
        <w:rPr>
          <w:rFonts w:ascii="Times New Roman" w:cs="Times New Roman" w:eastAsia="Times New Roman" w:hAnsi="Times New Roman"/>
          <w:b/>
          <w:bCs/>
          <w:sz w:val="28"/>
          <w:szCs w:val="28"/>
        </w:rPr>
        <w:t xml:space="preserve">7. </w:t>
      </w:r>
      <w:r>
        <w:rPr>
          <w:rFonts w:ascii="Times New Roman" w:cs="Times New Roman" w:eastAsia="Times New Roman" w:hAnsi="Times New Roman"/>
          <w:b w:val="false"/>
          <w:bCs w:val="false"/>
          <w:sz w:val="28"/>
          <w:szCs w:val="28"/>
        </w:rPr>
        <w:t xml:space="preserve">Ethical norms: </w:t>
      </w:r>
      <w:r>
        <w:rPr>
          <w:rFonts w:ascii="Times New Roman" w:cs="Times New Roman" w:eastAsia="Times New Roman" w:hAnsi="Times New Roman"/>
          <w:sz w:val="28"/>
          <w:szCs w:val="28"/>
        </w:rPr>
        <w:t xml:space="preserve">must strictly observe the rules of professional and academic ethics.</w:t>
      </w:r>
    </w:p>
    <w:p>
      <w:pPr>
        <w:spacing w:after="120" w:line="360"/>
        <w:ind w:firstLine="709"/>
        <w:jc w:val="both"/>
      </w:pPr>
      <w:r>
        <w:rPr>
          <w:rFonts w:ascii="Times New Roman" w:cs="Times New Roman" w:eastAsia="Times New Roman" w:hAnsi="Times New Roman"/>
          <w:sz w:val="28"/>
          <w:szCs w:val="28"/>
        </w:rPr>
        <w:t xml:space="preserve">Each expert observes at least 10 classes (lecture, practical session, seminar) in an academic year. Classes may be observed on the basis of a pre-planned schedule or unexpectedly (spot check). Newly recruited professors and teachers are hired through trial classes, and their classes may be checked 2–3 times [Annex 1].</w:t>
      </w:r>
    </w:p>
    <w:p>
      <w:pPr>
        <w:pStyle w:val="Heading2"/>
        <w:spacing w:after="120" w:before="160" w:line="360"/>
        <w:jc w:val="center"/>
      </w:pPr>
      <w:r>
        <w:rPr>
          <w:rFonts w:ascii="Times New Roman" w:cs="Times New Roman" w:eastAsia="Times New Roman" w:hAnsi="Times New Roman"/>
          <w:b/>
          <w:bCs/>
          <w:sz w:val="28"/>
          <w:szCs w:val="28"/>
        </w:rPr>
        <w:t xml:space="preserve">5.2. Purpose and importance of the KPI system</w:t>
      </w:r>
    </w:p>
    <w:p>
      <w:pPr>
        <w:spacing w:after="120" w:line="360"/>
        <w:ind w:firstLine="709"/>
        <w:jc w:val="both"/>
      </w:pPr>
      <w:r>
        <w:rPr>
          <w:rFonts w:ascii="Times New Roman" w:cs="Times New Roman" w:eastAsia="Times New Roman" w:hAnsi="Times New Roman"/>
          <w:sz w:val="28"/>
          <w:szCs w:val="28"/>
        </w:rPr>
        <w:t xml:space="preserve">The system of Key Performance Indicators (KPI) for assessing the activities of professors and teachers is applied for the following purposes: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objective assessment of the effectiveness of the activities of professors and teachers;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encouraging the continuous improvement of the quality of education;</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strengthening international cooperation and research activity;</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increasing academic and administrative effectiveness;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justifying the financial incentive system;</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assisting in achieving the TOP-300 ranking goals.</w:t>
      </w:r>
    </w:p>
    <w:p>
      <w:pPr>
        <w:pStyle w:val="Heading2"/>
        <w:spacing w:after="120" w:before="160" w:line="360"/>
        <w:jc w:val="center"/>
      </w:pPr>
      <w:r>
        <w:rPr>
          <w:rFonts w:ascii="Times New Roman" w:cs="Times New Roman" w:eastAsia="Times New Roman" w:hAnsi="Times New Roman"/>
          <w:b/>
          <w:bCs/>
          <w:sz w:val="28"/>
          <w:szCs w:val="28"/>
        </w:rPr>
        <w:t xml:space="preserve">5.2.1. KPI assessment areas</w:t>
      </w:r>
    </w:p>
    <w:p>
      <w:pPr>
        <w:spacing w:after="120" w:line="360"/>
        <w:ind w:firstLine="709"/>
        <w:jc w:val="both"/>
      </w:pPr>
      <w:r>
        <w:rPr>
          <w:rFonts w:ascii="Times New Roman" w:cs="Times New Roman" w:eastAsia="Times New Roman" w:hAnsi="Times New Roman"/>
          <w:sz w:val="28"/>
          <w:szCs w:val="28"/>
        </w:rPr>
        <w:t xml:space="preserve">The activities of professors and teachers are assessed in the following main areas in accordance with the strategic goals of the university and the education-quality requirements. For each area, quality and quantity indicators (KPI) are determined, which are measured through quantity and quality criteria and confirmed on the basis of annual reports and evidentiary documents (curricula, published articles, grant agreements, international cooperation agreements, student evaluations, etc.).</w:t>
      </w:r>
    </w:p>
    <w:p>
      <w:pPr>
        <w:spacing w:after="120" w:line="360"/>
        <w:ind w:firstLine="709"/>
        <w:jc w:val="both"/>
      </w:pPr>
      <w:r>
        <w:rPr>
          <w:rFonts w:ascii="Times New Roman" w:cs="Times New Roman" w:eastAsia="Times New Roman" w:hAnsi="Times New Roman"/>
          <w:sz w:val="28"/>
          <w:szCs w:val="28"/>
        </w:rPr>
        <w:t xml:space="preserve">In addition, this includes performing administrative tasks at the department, faculty and university levels; participation in quality assurance and accreditation processes; timely and high-quality submission of internal monitoring and reports; labour discipline; active participation in organizing educational-methodological and scientific events; and other tasks included in the composition (commissions, attestation, mentoring, labour-market orientation).</w:t>
      </w:r>
    </w:p>
    <w:p>
      <w:pPr>
        <w:spacing w:after="120" w:line="360"/>
        <w:ind w:firstLine="709"/>
        <w:jc w:val="both"/>
      </w:pPr>
      <w:r>
        <w:rPr>
          <w:rFonts w:ascii="Times New Roman" w:cs="Times New Roman" w:eastAsia="Times New Roman" w:hAnsi="Times New Roman"/>
          <w:sz w:val="28"/>
          <w:szCs w:val="28"/>
        </w:rPr>
        <w:t xml:space="preserve">The assessment process includes determining indicators, assigning weights to them, and reviewing them annually; KPIs are measured through the established indicators, and on the basis of the assessment results, incentives, advanced-training plans and corrective measures are determined. KPI monitoring is carried out in a transparent, objective and inclusive manner; the results are discussed with the professors and teachers and harmonized with the university’s strategic road map and international benchmarks.</w:t>
      </w:r>
    </w:p>
    <w:p>
      <w:pPr>
        <w:pStyle w:val="Heading2"/>
        <w:spacing w:after="120" w:before="160" w:line="360"/>
        <w:jc w:val="center"/>
      </w:pPr>
      <w:r>
        <w:rPr>
          <w:rFonts w:ascii="Times New Roman" w:cs="Times New Roman" w:eastAsia="Times New Roman" w:hAnsi="Times New Roman"/>
          <w:b/>
          <w:bCs/>
          <w:sz w:val="28"/>
          <w:szCs w:val="28"/>
        </w:rPr>
        <w:t xml:space="preserve">5.3. Conducting surveys of stakeholders</w:t>
      </w:r>
    </w:p>
    <w:p>
      <w:pPr>
        <w:spacing w:after="120" w:line="360"/>
        <w:ind w:firstLine="709"/>
        <w:jc w:val="both"/>
      </w:pPr>
      <w:r>
        <w:rPr>
          <w:rFonts w:ascii="Times New Roman" w:cs="Times New Roman" w:eastAsia="Times New Roman" w:hAnsi="Times New Roman"/>
          <w:sz w:val="28"/>
          <w:szCs w:val="28"/>
        </w:rPr>
        <w:t xml:space="preserve">For the purpose of comprehensively assessing the quality of education and regularly studying the opinions and proposals of stakeholders, the EQC Department conducts systematic surveys among various groups and individuals. The results of the surveys are considered an important source of information for improving university activities, making strategic decisions and ensuring quality standards.</w:t>
      </w:r>
    </w:p>
    <w:p>
      <w:pPr>
        <w:spacing w:after="120" w:line="360"/>
        <w:ind w:firstLine="709"/>
        <w:jc w:val="both"/>
      </w:pPr>
      <w:r>
        <w:rPr>
          <w:rFonts w:ascii="Times New Roman" w:cs="Times New Roman" w:eastAsia="Times New Roman" w:hAnsi="Times New Roman"/>
          <w:sz w:val="28"/>
          <w:szCs w:val="28"/>
        </w:rPr>
        <w:t xml:space="preserve">Groups of survey participants: 1. Students; 2. Professors and teachers; 3. Graduates; 4. Employers; 5. Parents; 6. Administrative staff.</w:t>
      </w:r>
    </w:p>
    <w:p>
      <w:pPr>
        <w:spacing w:after="120" w:line="360"/>
        <w:ind w:firstLine="709"/>
        <w:jc w:val="both"/>
      </w:pPr>
      <w:r>
        <w:rPr>
          <w:rFonts w:ascii="Times New Roman" w:cs="Times New Roman" w:eastAsia="Times New Roman" w:hAnsi="Times New Roman"/>
          <w:sz w:val="28"/>
          <w:szCs w:val="28"/>
        </w:rPr>
        <w:t xml:space="preserve">The content and periodicity of the surveys, among whom they are conducted, how the data are processed, and the ways in which their results are announced to the public are set out in Annex 2.</w:t>
      </w:r>
    </w:p>
    <w:p>
      <w:pPr>
        <w:pStyle w:val="Heading1"/>
        <w:spacing w:after="160" w:before="240" w:line="360"/>
        <w:jc w:val="center"/>
      </w:pPr>
      <w:r>
        <w:rPr>
          <w:rFonts w:ascii="Times New Roman" w:cs="Times New Roman" w:eastAsia="Times New Roman" w:hAnsi="Times New Roman"/>
          <w:b/>
          <w:bCs/>
          <w:sz w:val="28"/>
          <w:szCs w:val="28"/>
        </w:rPr>
        <w:t xml:space="preserve">CHAPTER VI. SELF-ASSESSMENT</w:t>
      </w:r>
    </w:p>
    <w:p>
      <w:pPr>
        <w:pStyle w:val="Heading2"/>
        <w:spacing w:after="120" w:before="160" w:line="360"/>
        <w:jc w:val="center"/>
      </w:pPr>
      <w:r>
        <w:rPr>
          <w:rFonts w:ascii="Times New Roman" w:cs="Times New Roman" w:eastAsia="Times New Roman" w:hAnsi="Times New Roman"/>
          <w:b/>
          <w:bCs/>
          <w:sz w:val="28"/>
          <w:szCs w:val="28"/>
        </w:rPr>
        <w:t xml:space="preserve">6.1. Concept and importance of self-assessment</w:t>
      </w:r>
    </w:p>
    <w:p>
      <w:pPr>
        <w:spacing w:after="120" w:line="360"/>
        <w:ind w:firstLine="709"/>
        <w:jc w:val="both"/>
      </w:pPr>
      <w:r>
        <w:rPr>
          <w:rFonts w:ascii="Times New Roman" w:cs="Times New Roman" w:eastAsia="Times New Roman" w:hAnsi="Times New Roman"/>
          <w:sz w:val="28"/>
          <w:szCs w:val="28"/>
        </w:rPr>
        <w:t xml:space="preserve">Self-assessment – is of great importance for the internal assessment and quality assurance of the higher and post-higher education activities of TSUOS. Self-assessment is carried out on the basis of the Law of the Republic of Uzbekistan “On Education” (2020), the requirements of international accreditation, and this Regulation.</w:t>
      </w:r>
    </w:p>
    <w:p>
      <w:pPr>
        <w:pStyle w:val="Heading2"/>
        <w:spacing w:after="120" w:before="160" w:line="360"/>
        <w:jc w:val="center"/>
      </w:pPr>
      <w:r>
        <w:rPr>
          <w:rFonts w:ascii="Times New Roman" w:cs="Times New Roman" w:eastAsia="Times New Roman" w:hAnsi="Times New Roman"/>
          <w:b/>
          <w:bCs/>
          <w:sz w:val="28"/>
          <w:szCs w:val="28"/>
        </w:rPr>
        <w:t xml:space="preserve">6.2. Main purpose of self-assessment</w:t>
      </w:r>
    </w:p>
    <w:p>
      <w:pPr>
        <w:spacing w:after="120" w:line="360"/>
        <w:ind w:firstLine="709"/>
        <w:jc w:val="both"/>
      </w:pPr>
      <w:r>
        <w:rPr>
          <w:rFonts w:ascii="Times New Roman" w:cs="Times New Roman" w:eastAsia="Times New Roman" w:hAnsi="Times New Roman"/>
          <w:sz w:val="28"/>
          <w:szCs w:val="28"/>
        </w:rPr>
        <w:t xml:space="preserve">The main purpose of self-assessment is to help TSUOS understand its strengths and the areas that need to be improved. On this basis, an improvement plan is drawn up, and measures are taken to improve overall quality, obtain international accreditation, and enter the TOP-300 ranking.</w:t>
      </w:r>
    </w:p>
    <w:p>
      <w:pPr>
        <w:pStyle w:val="Heading2"/>
        <w:spacing w:after="120" w:before="160" w:line="360"/>
        <w:jc w:val="center"/>
      </w:pPr>
      <w:r>
        <w:rPr>
          <w:rFonts w:ascii="Times New Roman" w:cs="Times New Roman" w:eastAsia="Times New Roman" w:hAnsi="Times New Roman"/>
          <w:b/>
          <w:bCs/>
          <w:sz w:val="28"/>
          <w:szCs w:val="28"/>
        </w:rPr>
        <w:t xml:space="preserve">6.3. Periodicity and stages of self-assessment</w:t>
      </w:r>
    </w:p>
    <w:p>
      <w:pPr>
        <w:spacing w:after="120" w:line="360"/>
        <w:ind w:firstLine="709"/>
        <w:jc w:val="both"/>
      </w:pPr>
      <w:r>
        <w:rPr>
          <w:rFonts w:ascii="Times New Roman" w:cs="Times New Roman" w:eastAsia="Times New Roman" w:hAnsi="Times New Roman"/>
          <w:sz w:val="28"/>
          <w:szCs w:val="28"/>
        </w:rPr>
        <w:t xml:space="preserve">Self-assessment is an important process that serves to increase the effectiveness of the organization’s activities, identify existing problems, and continuously improve quality. This assessment is established to be conducted at least once every two years; in the process of preparing for international accreditation, it may also be carried out annually. This helps the organization to regularly analyse its internal systems, adapt to international standards, and increase its competitiveness.</w:t>
      </w:r>
    </w:p>
    <w:p>
      <w:pPr>
        <w:spacing w:after="120" w:line="360"/>
        <w:ind w:firstLine="709"/>
        <w:jc w:val="both"/>
      </w:pPr>
      <w:r>
        <w:rPr>
          <w:rFonts w:ascii="Times New Roman" w:cs="Times New Roman" w:eastAsia="Times New Roman" w:hAnsi="Times New Roman"/>
          <w:sz w:val="28"/>
          <w:szCs w:val="28"/>
        </w:rPr>
        <w:t xml:space="preserve">The self-assessment process is carried out in several consistent stages. First, in the first stage, the assessment process is thoroughly planned. In this process, the purpose and objectives are determined, criteria are defined, and the responsible performers are appointed. In the second stage, direct assessment work is carried out, the current situation is analysed in depth, and the strengths and weaknesses are identified. In the third stage, specific measures for eliminating the identified shortcomings and improving the activities are developed and put into practice. Finally, in the fourth stage, mechanisms for the continuous improvement of quality are established, and the achieved results are regularly monitored.</w:t>
      </w:r>
    </w:p>
    <w:p>
      <w:pPr>
        <w:pStyle w:val="Heading1"/>
        <w:spacing w:after="160" w:before="240" w:line="360"/>
        <w:jc w:val="center"/>
      </w:pPr>
      <w:r>
        <w:rPr>
          <w:rFonts w:ascii="Times New Roman" w:cs="Times New Roman" w:eastAsia="Times New Roman" w:hAnsi="Times New Roman"/>
          <w:b/>
          <w:bCs/>
          <w:sz w:val="28"/>
          <w:szCs w:val="28"/>
        </w:rPr>
        <w:t xml:space="preserve">CHAPTER VII. JOB DESCRIPTIONS OF THE STAFF</w:t>
      </w:r>
    </w:p>
    <w:p>
      <w:pPr>
        <w:pStyle w:val="Heading2"/>
        <w:spacing w:after="120" w:before="160" w:line="360"/>
        <w:jc w:val="center"/>
      </w:pPr>
      <w:r>
        <w:rPr>
          <w:rFonts w:ascii="Times New Roman" w:cs="Times New Roman" w:eastAsia="Times New Roman" w:hAnsi="Times New Roman"/>
          <w:b/>
          <w:bCs/>
          <w:sz w:val="28"/>
          <w:szCs w:val="28"/>
        </w:rPr>
        <w:t xml:space="preserve">7.1. Functional duties of the Head of the Department</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organize the activities of the Department on the basis of the laws of the Republic of Uzbekistan, the decrees, resolutions and orders of the President of the Republic of Uzbekistan, the resolutions and orders of the Cabinet of Ministers of the Republic of Uzbekistan and other current normative-legal documents related to education, as well as the orders and instructions of the Ministry of Higher Education, Science and Innovation on organizing the activities of educational institutions, licensing, the Department for Ensuring the Quality of Education, and the orders and instructions of the Rector of TSUOS;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organize the activities of the Department;</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develop the Department’s current and prospective work plans;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be accountable for the reliability of the information submitted directly to the University Rector and thereafter to the Ministry of Higher Education, Science and Innovation’s Department for organizing the activities of educational institutions, licensing, and ensuring the quality of education;</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When it is established that decisions adopted concerning education quality at the university have not been implemented to a sufficient degree, to bring the information to the University Rector;</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participate in collecting and assessing information relating to determining the university ranking, and in the accreditation and education-quality study processes being conducted;</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provide, at the University Council, round-table discussions and gatherings, information about the work carried out by the Department to improve education quality and about the monitoring results;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participate in developing a plan of measures to eliminate the shortcomings identified on the basis of the results of national and international accreditation;</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form a corps of professors and teachers capable of ensuring the quality of education, including creating (objective) transparent organizational mechanisms that make it possible to select and recruit talented teachers and enhance their professional mastery and qualifications;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regularly analyse the teaching quality and KPI indicators of professors and teachers;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study and analyse the experience of TOP-300 universities and to regularly analyse the teaching quality of professors and teachers;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submit, in the established procedure, proposals and recommendations to the University management on encouraging the Department’s staff or taking disciplinary measures against them according to the results of their performance of job duties on assigned tasks;</w:t>
      </w:r>
    </w:p>
    <w:p>
      <w:pPr>
        <w:pStyle w:val="Heading2"/>
        <w:spacing w:after="120" w:before="160" w:line="360"/>
        <w:jc w:val="center"/>
      </w:pPr>
      <w:r>
        <w:rPr>
          <w:rFonts w:ascii="Times New Roman" w:cs="Times New Roman" w:eastAsia="Times New Roman" w:hAnsi="Times New Roman"/>
          <w:b/>
          <w:bCs/>
          <w:sz w:val="28"/>
          <w:szCs w:val="28"/>
        </w:rPr>
        <w:t xml:space="preserve">7.2. Functional duties of the Chief Specialist of the Department</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organize their activities on the basis of the laws of the Republic of Uzbekistan, the decrees, resolutions and orders of the President of the Republic of Uzbekistan, the resolutions and orders of the Cabinet of Ministers of the Republic of Uzbekistan and other current normative-legal documents related to education, the orders and instructions of the Ministry of Higher Education, Science and Innovation on organizing the activities of educational institutions, licensing, the Department for Ensuring the Quality of Education, the orders and instructions of the Rector of TSUOS, and the assignments of the Head of the Department;</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obtain the necessary information and materials from the structural divisions of the university within the scope of their functions in order to carry out the tasks and functions assigned to the Department;</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study whether the educational process is correctly organized on the basis of the requirements set out in the normative-legal documents, and the effectiveness of the use of the HEMIS and MOODLE systems. In particular, whether the data are entered into the information system in a timely manner and in full volume;</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study and analyse whether independent learning is organized at the required level (developing guidelines or methodological recommendations, setting requirements for organizing independent learning, and ensuring the formation of the student workload);</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determine the effectiveness of the measures taken to ensure transparency and impartiality in monitoring and assessing students’ knowledge;</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study whether professors and teachers have improved their qualifications and whether field novelties have been incorporated into the programmes;</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study and analyse whether independent learning is organized at the required level (developing guidelines or methodological recommendations, setting requirements for organizing independent learning, and ensuring the formation of the student workload);</w:t>
      </w:r>
    </w:p>
    <w:p>
      <w:pPr>
        <w:spacing w:after="80" w:line="360"/>
        <w:ind w:left="709" w:hanging="340"/>
        <w:jc w:val="both"/>
      </w:pP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To be accountable for the reliability of the information submitted directly to the Head of the Department, to the University Rector, and thereafter to the agency for organizing the activities of educational institutions, licensing and ensuring the quality of education of the Ministry of Higher Education, Science and Innovation.</w:t>
      </w:r>
    </w:p>
    <w:p>
      <w:pPr>
        <w:pStyle w:val="Heading1"/>
        <w:spacing w:after="160" w:before="240" w:line="360"/>
        <w:jc w:val="center"/>
      </w:pPr>
      <w:r>
        <w:rPr>
          <w:rFonts w:ascii="Times New Roman" w:cs="Times New Roman" w:eastAsia="Times New Roman" w:hAnsi="Times New Roman"/>
          <w:b/>
          <w:bCs/>
          <w:sz w:val="28"/>
          <w:szCs w:val="28"/>
        </w:rPr>
        <w:t xml:space="preserve">CHAPTER VIII. FINAL PROVISIONS</w:t>
      </w:r>
    </w:p>
    <w:p>
      <w:pPr>
        <w:pStyle w:val="Heading2"/>
        <w:spacing w:after="120" w:before="160" w:line="360"/>
        <w:jc w:val="center"/>
      </w:pPr>
      <w:r>
        <w:rPr>
          <w:rFonts w:ascii="Times New Roman" w:cs="Times New Roman" w:eastAsia="Times New Roman" w:hAnsi="Times New Roman"/>
          <w:b/>
          <w:bCs/>
          <w:sz w:val="28"/>
          <w:szCs w:val="28"/>
        </w:rPr>
        <w:t xml:space="preserve">8.1. Application of the Regulation</w:t>
      </w:r>
    </w:p>
    <w:p>
      <w:pPr>
        <w:spacing w:after="120" w:line="360"/>
        <w:ind w:firstLine="709"/>
        <w:jc w:val="both"/>
      </w:pPr>
      <w:r>
        <w:rPr>
          <w:rFonts w:ascii="Times New Roman" w:cs="Times New Roman" w:eastAsia="Times New Roman" w:hAnsi="Times New Roman"/>
          <w:sz w:val="28"/>
          <w:szCs w:val="28"/>
        </w:rPr>
        <w:t xml:space="preserve">The provisions of this Regulation apply to all structural divisions and staff of TSUOS.</w:t>
      </w:r>
    </w:p>
    <w:p>
      <w:pPr>
        <w:pStyle w:val="Heading2"/>
        <w:spacing w:after="120" w:before="160" w:line="360"/>
        <w:jc w:val="center"/>
      </w:pPr>
      <w:r>
        <w:rPr>
          <w:rFonts w:ascii="Times New Roman" w:cs="Times New Roman" w:eastAsia="Times New Roman" w:hAnsi="Times New Roman"/>
          <w:b/>
          <w:bCs/>
          <w:sz w:val="28"/>
          <w:szCs w:val="28"/>
        </w:rPr>
        <w:t xml:space="preserve">8.2. Reorganization and dissolution of the Department</w:t>
      </w:r>
    </w:p>
    <w:p>
      <w:pPr>
        <w:spacing w:after="120" w:line="360"/>
        <w:ind w:firstLine="709"/>
        <w:jc w:val="both"/>
      </w:pPr>
      <w:r>
        <w:rPr>
          <w:rFonts w:ascii="Times New Roman" w:cs="Times New Roman" w:eastAsia="Times New Roman" w:hAnsi="Times New Roman"/>
          <w:sz w:val="28"/>
          <w:szCs w:val="28"/>
        </w:rPr>
        <w:t xml:space="preserve">The dissolution or reorganization of the Department is carried out by order of the Rector.</w:t>
      </w:r>
    </w:p>
    <w:p>
      <w:pPr>
        <w:pStyle w:val="Heading2"/>
        <w:spacing w:after="120" w:before="160" w:line="360"/>
        <w:jc w:val="center"/>
      </w:pPr>
      <w:r>
        <w:rPr>
          <w:rFonts w:ascii="Times New Roman" w:cs="Times New Roman" w:eastAsia="Times New Roman" w:hAnsi="Times New Roman"/>
          <w:b/>
          <w:bCs/>
          <w:sz w:val="28"/>
          <w:szCs w:val="28"/>
        </w:rPr>
        <w:t xml:space="preserve">8.3. Entry into force of the Regulation</w:t>
      </w:r>
    </w:p>
    <w:p>
      <w:pPr>
        <w:spacing w:after="120" w:line="360"/>
        <w:ind w:firstLine="709"/>
        <w:jc w:val="both"/>
      </w:pPr>
      <w:r>
        <w:rPr>
          <w:rFonts w:ascii="Times New Roman" w:cs="Times New Roman" w:eastAsia="Times New Roman" w:hAnsi="Times New Roman"/>
          <w:sz w:val="28"/>
          <w:szCs w:val="28"/>
        </w:rPr>
        <w:t xml:space="preserve">This Regulation is deemed to have entered into legal force from the day it is discussed and approved at a meeting of the TSUOS Council.</w:t>
      </w:r>
    </w:p>
    <w:p>
      <w:pPr>
        <w:pStyle w:val="Heading2"/>
        <w:spacing w:after="120" w:before="160" w:line="360"/>
        <w:jc w:val="center"/>
      </w:pPr>
      <w:r>
        <w:rPr>
          <w:rFonts w:ascii="Times New Roman" w:cs="Times New Roman" w:eastAsia="Times New Roman" w:hAnsi="Times New Roman"/>
          <w:b/>
          <w:bCs/>
          <w:sz w:val="28"/>
          <w:szCs w:val="28"/>
        </w:rPr>
        <w:t xml:space="preserve">8.4. Introduction of amendments to the Regulation</w:t>
      </w:r>
    </w:p>
    <w:p>
      <w:pPr>
        <w:spacing w:after="120" w:line="360"/>
        <w:ind w:firstLine="709"/>
        <w:jc w:val="both"/>
      </w:pPr>
      <w:r>
        <w:rPr>
          <w:rFonts w:ascii="Times New Roman" w:cs="Times New Roman" w:eastAsia="Times New Roman" w:hAnsi="Times New Roman"/>
          <w:sz w:val="28"/>
          <w:szCs w:val="28"/>
        </w:rPr>
        <w:t xml:space="preserve">Amendments and additions to this Regulation may be introduced on the basis of a decision of the TSUOS Council. Amendments are introduced in coordination with the University’s prospective plans and the updates of the Complex Road Map.</w:t>
      </w:r>
    </w:p>
    <w:p>
      <w:pPr>
        <w:spacing w:after="120" w:line="360"/>
        <w:jc w:val="both"/>
      </w:pPr>
      <w:r>
        <w:rPr>
          <w:rFonts w:ascii="Times New Roman" w:cs="Times New Roman" w:eastAsia="Times New Roman" w:hAnsi="Times New Roman"/>
          <w:sz w:val="28"/>
          <w:szCs w:val="28"/>
        </w:rPr>
        <w:t xml:space="preserve"/>
      </w:r>
    </w:p>
    <w:p>
      <w:pPr>
        <w:spacing w:after="120" w:line="360"/>
        <w:ind w:firstLine="709"/>
        <w:jc w:val="both"/>
      </w:pPr>
      <w:r>
        <w:rPr>
          <w:rFonts w:ascii="Times New Roman" w:cs="Times New Roman" w:eastAsia="Times New Roman" w:hAnsi="Times New Roman"/>
          <w:sz w:val="28"/>
          <w:szCs w:val="28"/>
        </w:rPr>
        <w:t xml:space="preserve">This Regulation is deemed to have entered into legal force from the day it was discussed and approved at meeting No. 2 of the University Council of 4 October 2025.</w:t>
      </w:r>
    </w:p>
    <w:p>
      <w:pPr>
        <w:spacing w:after="160" w:line="360"/>
        <w:jc w:val="both"/>
      </w:pPr>
      <w:r>
        <w:rPr>
          <w:rFonts w:ascii="Times New Roman" w:cs="Times New Roman" w:eastAsia="Times New Roman" w:hAnsi="Times New Roman"/>
          <w:sz w:val="28"/>
          <w:szCs w:val="28"/>
        </w:rPr>
        <w:t xml:space="preserve"/>
      </w:r>
    </w:p>
    <w:p>
      <w:pPr>
        <w:tabs>
          <w:tab w:val="right" w:pos="9026"/>
        </w:tabs>
        <w:spacing w:after="120" w:line="360"/>
      </w:pPr>
      <w:r>
        <w:rPr>
          <w:rFonts w:ascii="Times New Roman" w:cs="Times New Roman" w:eastAsia="Times New Roman" w:hAnsi="Times New Roman"/>
          <w:b/>
          <w:bCs/>
          <w:sz w:val="28"/>
          <w:szCs w:val="28"/>
        </w:rPr>
        <w:t xml:space="preserve">Head of the Education Quality Control Department</w:t>
      </w:r>
      <w:r>
        <w:rPr>
          <w:rFonts w:ascii="Times New Roman" w:cs="Times New Roman" w:eastAsia="Times New Roman" w:hAnsi="Times New Roman"/>
          <w:sz w:val="28"/>
          <w:szCs w:val="28"/>
        </w:rPr>
        <w:t xml:space="preserve">		</w:t>
      </w:r>
      <w:r>
        <w:rPr>
          <w:rFonts w:ascii="Times New Roman" w:cs="Times New Roman" w:eastAsia="Times New Roman" w:hAnsi="Times New Roman"/>
          <w:b/>
          <w:bCs/>
          <w:sz w:val="28"/>
          <w:szCs w:val="28"/>
        </w:rPr>
        <w:t xml:space="preserve">S.X. Maxkamova</w:t>
      </w:r>
    </w:p>
    <w:p>
      <w:r>
        <w:br w:type="page"/>
      </w:r>
    </w:p>
    <w:p>
      <w:pPr>
        <w:spacing w:after="60" w:line="360"/>
        <w:jc w:val="right"/>
      </w:pPr>
      <w:r>
        <w:rPr>
          <w:rFonts w:ascii="Times New Roman" w:cs="Times New Roman" w:eastAsia="Times New Roman" w:hAnsi="Times New Roman"/>
          <w:b/>
          <w:bCs/>
          <w:sz w:val="28"/>
          <w:szCs w:val="28"/>
        </w:rPr>
        <w:t xml:space="preserve">Annex 1.</w:t>
      </w:r>
    </w:p>
    <w:p>
      <w:pPr>
        <w:spacing w:after="120" w:line="360"/>
        <w:jc w:val="center"/>
      </w:pPr>
      <w:r>
        <w:rPr>
          <w:rFonts w:ascii="Times New Roman" w:cs="Times New Roman" w:eastAsia="Times New Roman" w:hAnsi="Times New Roman"/>
          <w:sz w:val="28"/>
          <w:szCs w:val="28"/>
        </w:rPr>
        <w:t xml:space="preserve">Tashkent State University of Oriental Studies</w:t>
      </w:r>
    </w:p>
    <w:p>
      <w:pPr>
        <w:spacing w:after="160" w:line="360"/>
        <w:jc w:val="center"/>
      </w:pPr>
      <w:r>
        <w:rPr>
          <w:rFonts w:ascii="Times New Roman" w:cs="Times New Roman" w:eastAsia="Times New Roman" w:hAnsi="Times New Roman"/>
          <w:b/>
          <w:bCs/>
          <w:sz w:val="30"/>
          <w:szCs w:val="30"/>
        </w:rPr>
        <w:t xml:space="preserve">TRIAL CLASS ANALYSIS</w:t>
      </w:r>
    </w:p>
    <w:p>
      <w:pPr>
        <w:spacing w:after="60" w:line="360"/>
        <w:jc w:val="left"/>
      </w:pPr>
      <w:r>
        <w:rPr>
          <w:rFonts w:ascii="Times New Roman" w:cs="Times New Roman" w:eastAsia="Times New Roman" w:hAnsi="Times New Roman"/>
          <w:sz w:val="28"/>
          <w:szCs w:val="28"/>
        </w:rPr>
        <w:t xml:space="preserve">Teacher’s full name: ______________________________________________________</w:t>
      </w:r>
    </w:p>
    <w:p>
      <w:pPr>
        <w:spacing w:after="60" w:line="360"/>
        <w:jc w:val="left"/>
      </w:pPr>
      <w:r>
        <w:rPr>
          <w:rFonts w:ascii="Times New Roman" w:cs="Times New Roman" w:eastAsia="Times New Roman" w:hAnsi="Times New Roman"/>
          <w:sz w:val="28"/>
          <w:szCs w:val="28"/>
        </w:rPr>
        <w:t xml:space="preserve">Academic degree ________________ Position ________________________________</w:t>
      </w:r>
    </w:p>
    <w:p>
      <w:pPr>
        <w:spacing w:after="60" w:line="360"/>
        <w:jc w:val="left"/>
      </w:pPr>
      <w:r>
        <w:rPr>
          <w:rFonts w:ascii="Times New Roman" w:cs="Times New Roman" w:eastAsia="Times New Roman" w:hAnsi="Times New Roman"/>
          <w:sz w:val="28"/>
          <w:szCs w:val="28"/>
        </w:rPr>
        <w:t xml:space="preserve">Faculty: __________________________________________________________________</w:t>
      </w:r>
    </w:p>
    <w:p>
      <w:pPr>
        <w:spacing w:after="60" w:line="360"/>
        <w:jc w:val="left"/>
      </w:pPr>
      <w:r>
        <w:rPr>
          <w:rFonts w:ascii="Times New Roman" w:cs="Times New Roman" w:eastAsia="Times New Roman" w:hAnsi="Times New Roman"/>
          <w:sz w:val="28"/>
          <w:szCs w:val="28"/>
        </w:rPr>
        <w:t xml:space="preserve">Department ______________________________________________________________</w:t>
      </w:r>
    </w:p>
    <w:p>
      <w:pPr>
        <w:spacing w:after="60" w:line="360"/>
        <w:jc w:val="left"/>
      </w:pPr>
      <w:r>
        <w:rPr>
          <w:rFonts w:ascii="Times New Roman" w:cs="Times New Roman" w:eastAsia="Times New Roman" w:hAnsi="Times New Roman"/>
          <w:sz w:val="28"/>
          <w:szCs w:val="28"/>
        </w:rPr>
        <w:t xml:space="preserve">Subject name: ____________________________________________________________</w:t>
      </w:r>
    </w:p>
    <w:p>
      <w:pPr>
        <w:spacing w:after="60" w:line="360"/>
        <w:jc w:val="left"/>
      </w:pPr>
      <w:r>
        <w:rPr>
          <w:rFonts w:ascii="Times New Roman" w:cs="Times New Roman" w:eastAsia="Times New Roman" w:hAnsi="Times New Roman"/>
          <w:sz w:val="28"/>
          <w:szCs w:val="28"/>
        </w:rPr>
        <w:t xml:space="preserve">Class topic ______________________________________________________________</w:t>
      </w:r>
    </w:p>
    <w:p>
      <w:pPr>
        <w:spacing w:after="60" w:line="360"/>
        <w:jc w:val="left"/>
      </w:pPr>
      <w:r>
        <w:rPr>
          <w:rFonts w:ascii="Times New Roman" w:cs="Times New Roman" w:eastAsia="Times New Roman" w:hAnsi="Times New Roman"/>
          <w:sz w:val="28"/>
          <w:szCs w:val="28"/>
        </w:rPr>
        <w:t xml:space="preserve">Date: ________________ Time __________________________________________</w:t>
      </w:r>
    </w:p>
    <w:p>
      <w:pPr>
        <w:spacing w:after="60" w:line="360"/>
        <w:jc w:val="both"/>
      </w:pPr>
      <w:r>
        <w:rPr>
          <w:rFonts w:ascii="Times New Roman" w:cs="Times New Roman" w:eastAsia="Times New Roman" w:hAnsi="Times New Roman"/>
          <w:sz w:val="28"/>
          <w:szCs w:val="28"/>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700"/>
        <w:gridCol w:w="5850"/>
        <w:gridCol w:w="2800"/>
      </w:tblGrid>
      <w:tr>
        <w:tc>
          <w:tcPr>
            <w:tcW w:type="dxa" w:w="700"/>
            <w:tcBorders>
              <w:top w:val="single" w:color="000000" w:sz="6"/>
              <w:left w:val="single" w:color="000000" w:sz="6"/>
              <w:bottom w:val="single" w:color="000000" w:sz="6"/>
              <w:right w:val="single" w:color="000000" w:sz="6"/>
            </w:tcBorders>
            <w:shd w:fill="D9D9D9" w:color="auto" w:val="clear"/>
            <w:vAlign w:val="center"/>
          </w:tcPr>
          <w:p>
            <w:pPr>
              <w:spacing w:after="40" w:line="300"/>
              <w:jc w:val="center"/>
            </w:pPr>
            <w:r>
              <w:rPr>
                <w:rFonts w:ascii="Times New Roman" w:cs="Times New Roman" w:eastAsia="Times New Roman" w:hAnsi="Times New Roman"/>
                <w:b/>
                <w:bCs/>
                <w:sz w:val="28"/>
                <w:szCs w:val="28"/>
              </w:rPr>
              <w:t xml:space="preserve">No.</w:t>
            </w:r>
          </w:p>
        </w:tc>
        <w:tc>
          <w:tcPr>
            <w:tcW w:type="dxa" w:w="5850"/>
            <w:tcBorders>
              <w:top w:val="single" w:color="000000" w:sz="6"/>
              <w:left w:val="single" w:color="000000" w:sz="6"/>
              <w:bottom w:val="single" w:color="000000" w:sz="6"/>
              <w:right w:val="single" w:color="000000" w:sz="6"/>
            </w:tcBorders>
            <w:shd w:fill="D9D9D9" w:color="auto" w:val="clear"/>
            <w:vAlign w:val="center"/>
          </w:tcPr>
          <w:p>
            <w:pPr>
              <w:spacing w:after="40" w:line="300"/>
              <w:jc w:val="center"/>
            </w:pPr>
            <w:r>
              <w:rPr>
                <w:rFonts w:ascii="Times New Roman" w:cs="Times New Roman" w:eastAsia="Times New Roman" w:hAnsi="Times New Roman"/>
                <w:b/>
                <w:bCs/>
                <w:sz w:val="28"/>
                <w:szCs w:val="28"/>
              </w:rPr>
              <w:t xml:space="preserve">Name of quantity indicators</w:t>
            </w:r>
          </w:p>
        </w:tc>
        <w:tc>
          <w:tcPr>
            <w:tcW w:type="dxa" w:w="2800"/>
            <w:tcBorders>
              <w:top w:val="single" w:color="000000" w:sz="6"/>
              <w:left w:val="single" w:color="000000" w:sz="6"/>
              <w:bottom w:val="single" w:color="000000" w:sz="6"/>
              <w:right w:val="single" w:color="000000" w:sz="6"/>
            </w:tcBorders>
            <w:shd w:fill="D9D9D9" w:color="auto" w:val="clear"/>
            <w:vAlign w:val="center"/>
          </w:tcPr>
          <w:p>
            <w:pPr>
              <w:spacing w:after="40" w:line="300"/>
              <w:jc w:val="center"/>
            </w:pPr>
            <w:r>
              <w:rPr>
                <w:rFonts w:ascii="Times New Roman" w:cs="Times New Roman" w:eastAsia="Times New Roman" w:hAnsi="Times New Roman"/>
                <w:b/>
                <w:bCs/>
                <w:sz w:val="28"/>
                <w:szCs w:val="28"/>
              </w:rPr>
              <w:t xml:space="preserve">Assessment, remarks and recommendations</w:t>
            </w:r>
          </w:p>
        </w:tc>
      </w:tr>
      <w:tr>
        <w:tc>
          <w:tcPr>
            <w:tcW w:type="dxa" w:w="700"/>
            <w:tcBorders>
              <w:top w:val="single" w:color="000000" w:sz="6"/>
              <w:left w:val="single" w:color="000000" w:sz="6"/>
              <w:bottom w:val="single" w:color="000000" w:sz="6"/>
              <w:right w:val="single" w:color="000000" w:sz="6"/>
            </w:tcBorders>
            <w:vAlign w:val="center"/>
          </w:tcPr>
          <w:p>
            <w:pPr>
              <w:spacing w:after="40" w:line="300"/>
              <w:jc w:val="center"/>
            </w:pPr>
            <w:r>
              <w:rPr>
                <w:rFonts w:ascii="Times New Roman" w:cs="Times New Roman" w:eastAsia="Times New Roman" w:hAnsi="Times New Roman"/>
                <w:sz w:val="28"/>
                <w:szCs w:val="28"/>
              </w:rPr>
              <w:t xml:space="preserve">1.</w:t>
            </w:r>
          </w:p>
        </w:tc>
        <w:tc>
          <w:tcPr>
            <w:tcW w:type="dxa" w:w="585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Communication with the audience</w:t>
            </w:r>
          </w:p>
        </w:tc>
        <w:tc>
          <w:tcPr>
            <w:tcW w:type="dxa" w:w="280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
            </w:r>
          </w:p>
        </w:tc>
      </w:tr>
      <w:tr>
        <w:tc>
          <w:tcPr>
            <w:tcW w:type="dxa" w:w="700"/>
            <w:tcBorders>
              <w:top w:val="single" w:color="000000" w:sz="6"/>
              <w:left w:val="single" w:color="000000" w:sz="6"/>
              <w:bottom w:val="single" w:color="000000" w:sz="6"/>
              <w:right w:val="single" w:color="000000" w:sz="6"/>
            </w:tcBorders>
            <w:vAlign w:val="center"/>
          </w:tcPr>
          <w:p>
            <w:pPr>
              <w:spacing w:after="40" w:line="300"/>
              <w:jc w:val="center"/>
            </w:pPr>
            <w:r>
              <w:rPr>
                <w:rFonts w:ascii="Times New Roman" w:cs="Times New Roman" w:eastAsia="Times New Roman" w:hAnsi="Times New Roman"/>
                <w:sz w:val="28"/>
                <w:szCs w:val="28"/>
              </w:rPr>
              <w:t xml:space="preserve">2.</w:t>
            </w:r>
          </w:p>
        </w:tc>
        <w:tc>
          <w:tcPr>
            <w:tcW w:type="dxa" w:w="585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Public-speaking skill (oratory)</w:t>
            </w:r>
          </w:p>
        </w:tc>
        <w:tc>
          <w:tcPr>
            <w:tcW w:type="dxa" w:w="280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
            </w:r>
          </w:p>
        </w:tc>
      </w:tr>
      <w:tr>
        <w:tc>
          <w:tcPr>
            <w:tcW w:type="dxa" w:w="700"/>
            <w:tcBorders>
              <w:top w:val="single" w:color="000000" w:sz="6"/>
              <w:left w:val="single" w:color="000000" w:sz="6"/>
              <w:bottom w:val="single" w:color="000000" w:sz="6"/>
              <w:right w:val="single" w:color="000000" w:sz="6"/>
            </w:tcBorders>
            <w:vAlign w:val="center"/>
          </w:tcPr>
          <w:p>
            <w:pPr>
              <w:spacing w:after="40" w:line="300"/>
              <w:jc w:val="center"/>
            </w:pPr>
            <w:r>
              <w:rPr>
                <w:rFonts w:ascii="Times New Roman" w:cs="Times New Roman" w:eastAsia="Times New Roman" w:hAnsi="Times New Roman"/>
                <w:sz w:val="28"/>
                <w:szCs w:val="28"/>
              </w:rPr>
              <w:t xml:space="preserve">3.</w:t>
            </w:r>
          </w:p>
        </w:tc>
        <w:tc>
          <w:tcPr>
            <w:tcW w:type="dxa" w:w="585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Practical significance</w:t>
            </w:r>
          </w:p>
        </w:tc>
        <w:tc>
          <w:tcPr>
            <w:tcW w:type="dxa" w:w="280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
            </w:r>
          </w:p>
        </w:tc>
      </w:tr>
      <w:tr>
        <w:tc>
          <w:tcPr>
            <w:tcW w:type="dxa" w:w="700"/>
            <w:tcBorders>
              <w:top w:val="single" w:color="000000" w:sz="6"/>
              <w:left w:val="single" w:color="000000" w:sz="6"/>
              <w:bottom w:val="single" w:color="000000" w:sz="6"/>
              <w:right w:val="single" w:color="000000" w:sz="6"/>
            </w:tcBorders>
            <w:vAlign w:val="center"/>
          </w:tcPr>
          <w:p>
            <w:pPr>
              <w:spacing w:after="40" w:line="300"/>
              <w:jc w:val="center"/>
            </w:pPr>
            <w:r>
              <w:rPr>
                <w:rFonts w:ascii="Times New Roman" w:cs="Times New Roman" w:eastAsia="Times New Roman" w:hAnsi="Times New Roman"/>
                <w:sz w:val="28"/>
                <w:szCs w:val="28"/>
              </w:rPr>
              <w:t xml:space="preserve">4.</w:t>
            </w:r>
          </w:p>
        </w:tc>
        <w:tc>
          <w:tcPr>
            <w:tcW w:type="dxa" w:w="585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Pedagogical culture (appearance, speech literacy, pedagogical tact, etc.)</w:t>
            </w:r>
          </w:p>
        </w:tc>
        <w:tc>
          <w:tcPr>
            <w:tcW w:type="dxa" w:w="280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
            </w:r>
          </w:p>
        </w:tc>
      </w:tr>
      <w:tr>
        <w:tc>
          <w:tcPr>
            <w:tcW w:type="dxa" w:w="700"/>
            <w:tcBorders>
              <w:top w:val="single" w:color="000000" w:sz="6"/>
              <w:left w:val="single" w:color="000000" w:sz="6"/>
              <w:bottom w:val="single" w:color="000000" w:sz="6"/>
              <w:right w:val="single" w:color="000000" w:sz="6"/>
            </w:tcBorders>
            <w:shd w:fill="D9D9D9" w:color="auto" w:val="clear"/>
            <w:vAlign w:val="center"/>
          </w:tcPr>
          <w:p>
            <w:pPr>
              <w:spacing w:after="40" w:line="300"/>
              <w:jc w:val="left"/>
            </w:pPr>
            <w:r>
              <w:rPr>
                <w:rFonts w:ascii="Times New Roman" w:cs="Times New Roman" w:eastAsia="Times New Roman" w:hAnsi="Times New Roman"/>
                <w:sz w:val="28"/>
                <w:szCs w:val="28"/>
              </w:rPr>
              <w:t xml:space="preserve"/>
            </w:r>
          </w:p>
        </w:tc>
        <w:tc>
          <w:tcPr>
            <w:tcW w:type="dxa" w:w="5850"/>
            <w:tcBorders>
              <w:top w:val="single" w:color="000000" w:sz="6"/>
              <w:left w:val="single" w:color="000000" w:sz="6"/>
              <w:bottom w:val="single" w:color="000000" w:sz="6"/>
              <w:right w:val="single" w:color="000000" w:sz="6"/>
            </w:tcBorders>
            <w:shd w:fill="D9D9D9" w:color="auto" w:val="clear"/>
            <w:vAlign w:val="center"/>
          </w:tcPr>
          <w:p>
            <w:pPr>
              <w:spacing w:after="40" w:line="300"/>
              <w:jc w:val="left"/>
            </w:pPr>
            <w:r>
              <w:rPr>
                <w:rFonts w:ascii="Times New Roman" w:cs="Times New Roman" w:eastAsia="Times New Roman" w:hAnsi="Times New Roman"/>
                <w:b/>
                <w:bCs/>
                <w:sz w:val="28"/>
                <w:szCs w:val="28"/>
              </w:rPr>
              <w:t xml:space="preserve">Name of quality indicators</w:t>
            </w:r>
          </w:p>
        </w:tc>
        <w:tc>
          <w:tcPr>
            <w:tcW w:type="dxa" w:w="2800"/>
            <w:tcBorders>
              <w:top w:val="single" w:color="000000" w:sz="6"/>
              <w:left w:val="single" w:color="000000" w:sz="6"/>
              <w:bottom w:val="single" w:color="000000" w:sz="6"/>
              <w:right w:val="single" w:color="000000" w:sz="6"/>
            </w:tcBorders>
            <w:shd w:fill="D9D9D9" w:color="auto" w:val="clear"/>
            <w:vAlign w:val="center"/>
          </w:tcPr>
          <w:p>
            <w:pPr>
              <w:spacing w:after="40" w:line="300"/>
              <w:jc w:val="left"/>
            </w:pPr>
            <w:r>
              <w:rPr>
                <w:rFonts w:ascii="Times New Roman" w:cs="Times New Roman" w:eastAsia="Times New Roman" w:hAnsi="Times New Roman"/>
                <w:sz w:val="28"/>
                <w:szCs w:val="28"/>
              </w:rPr>
              <w:t xml:space="preserve"/>
            </w:r>
          </w:p>
        </w:tc>
      </w:tr>
      <w:tr>
        <w:tc>
          <w:tcPr>
            <w:tcW w:type="dxa" w:w="700"/>
            <w:tcBorders>
              <w:top w:val="single" w:color="000000" w:sz="6"/>
              <w:left w:val="single" w:color="000000" w:sz="6"/>
              <w:bottom w:val="single" w:color="000000" w:sz="6"/>
              <w:right w:val="single" w:color="000000" w:sz="6"/>
            </w:tcBorders>
            <w:vAlign w:val="center"/>
          </w:tcPr>
          <w:p>
            <w:pPr>
              <w:spacing w:after="40" w:line="300"/>
              <w:jc w:val="center"/>
            </w:pPr>
            <w:r>
              <w:rPr>
                <w:rFonts w:ascii="Times New Roman" w:cs="Times New Roman" w:eastAsia="Times New Roman" w:hAnsi="Times New Roman"/>
                <w:sz w:val="28"/>
                <w:szCs w:val="28"/>
              </w:rPr>
              <w:t xml:space="preserve">5.</w:t>
            </w:r>
          </w:p>
        </w:tc>
        <w:tc>
          <w:tcPr>
            <w:tcW w:type="dxa" w:w="585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Originality of the structure of the materials and the way they are presented</w:t>
            </w:r>
          </w:p>
        </w:tc>
        <w:tc>
          <w:tcPr>
            <w:tcW w:type="dxa" w:w="280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
            </w:r>
          </w:p>
        </w:tc>
      </w:tr>
      <w:tr>
        <w:tc>
          <w:tcPr>
            <w:tcW w:type="dxa" w:w="700"/>
            <w:tcBorders>
              <w:top w:val="single" w:color="000000" w:sz="6"/>
              <w:left w:val="single" w:color="000000" w:sz="6"/>
              <w:bottom w:val="single" w:color="000000" w:sz="6"/>
              <w:right w:val="single" w:color="000000" w:sz="6"/>
            </w:tcBorders>
            <w:vAlign w:val="center"/>
          </w:tcPr>
          <w:p>
            <w:pPr>
              <w:spacing w:after="40" w:line="300"/>
              <w:jc w:val="center"/>
            </w:pPr>
            <w:r>
              <w:rPr>
                <w:rFonts w:ascii="Times New Roman" w:cs="Times New Roman" w:eastAsia="Times New Roman" w:hAnsi="Times New Roman"/>
                <w:sz w:val="28"/>
                <w:szCs w:val="28"/>
              </w:rPr>
              <w:t xml:space="preserve">6.</w:t>
            </w:r>
          </w:p>
        </w:tc>
        <w:tc>
          <w:tcPr>
            <w:tcW w:type="dxa" w:w="585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Statement of the problem</w:t>
            </w:r>
          </w:p>
        </w:tc>
        <w:tc>
          <w:tcPr>
            <w:tcW w:type="dxa" w:w="280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
            </w:r>
          </w:p>
        </w:tc>
      </w:tr>
      <w:tr>
        <w:tc>
          <w:tcPr>
            <w:tcW w:type="dxa" w:w="700"/>
            <w:tcBorders>
              <w:top w:val="single" w:color="000000" w:sz="6"/>
              <w:left w:val="single" w:color="000000" w:sz="6"/>
              <w:bottom w:val="single" w:color="000000" w:sz="6"/>
              <w:right w:val="single" w:color="000000" w:sz="6"/>
            </w:tcBorders>
            <w:vAlign w:val="center"/>
          </w:tcPr>
          <w:p>
            <w:pPr>
              <w:spacing w:after="40" w:line="300"/>
              <w:jc w:val="center"/>
            </w:pPr>
            <w:r>
              <w:rPr>
                <w:rFonts w:ascii="Times New Roman" w:cs="Times New Roman" w:eastAsia="Times New Roman" w:hAnsi="Times New Roman"/>
                <w:sz w:val="28"/>
                <w:szCs w:val="28"/>
              </w:rPr>
              <w:t xml:space="preserve">7.</w:t>
            </w:r>
          </w:p>
        </w:tc>
        <w:tc>
          <w:tcPr>
            <w:tcW w:type="dxa" w:w="585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Teaching style and methods of involving students in mastering the topic (traditional – non-traditional)</w:t>
            </w:r>
          </w:p>
        </w:tc>
        <w:tc>
          <w:tcPr>
            <w:tcW w:type="dxa" w:w="280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
            </w:r>
          </w:p>
        </w:tc>
      </w:tr>
      <w:tr>
        <w:tc>
          <w:tcPr>
            <w:tcW w:type="dxa" w:w="700"/>
            <w:tcBorders>
              <w:top w:val="single" w:color="000000" w:sz="6"/>
              <w:left w:val="single" w:color="000000" w:sz="6"/>
              <w:bottom w:val="single" w:color="000000" w:sz="6"/>
              <w:right w:val="single" w:color="000000" w:sz="6"/>
            </w:tcBorders>
            <w:vAlign w:val="center"/>
          </w:tcPr>
          <w:p>
            <w:pPr>
              <w:spacing w:after="40" w:line="300"/>
              <w:jc w:val="center"/>
            </w:pPr>
            <w:r>
              <w:rPr>
                <w:rFonts w:ascii="Times New Roman" w:cs="Times New Roman" w:eastAsia="Times New Roman" w:hAnsi="Times New Roman"/>
                <w:sz w:val="28"/>
                <w:szCs w:val="28"/>
              </w:rPr>
              <w:t xml:space="preserve">8.</w:t>
            </w:r>
          </w:p>
        </w:tc>
        <w:tc>
          <w:tcPr>
            <w:tcW w:type="dxa" w:w="585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Forms of independent work recommended to students</w:t>
            </w:r>
          </w:p>
        </w:tc>
        <w:tc>
          <w:tcPr>
            <w:tcW w:type="dxa" w:w="280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
            </w:r>
          </w:p>
        </w:tc>
      </w:tr>
      <w:tr>
        <w:tc>
          <w:tcPr>
            <w:tcW w:type="dxa" w:w="700"/>
            <w:tcBorders>
              <w:top w:val="single" w:color="000000" w:sz="6"/>
              <w:left w:val="single" w:color="000000" w:sz="6"/>
              <w:bottom w:val="single" w:color="000000" w:sz="6"/>
              <w:right w:val="single" w:color="000000" w:sz="6"/>
            </w:tcBorders>
            <w:vAlign w:val="center"/>
          </w:tcPr>
          <w:p>
            <w:pPr>
              <w:spacing w:after="40" w:line="300"/>
              <w:jc w:val="center"/>
            </w:pPr>
            <w:r>
              <w:rPr>
                <w:rFonts w:ascii="Times New Roman" w:cs="Times New Roman" w:eastAsia="Times New Roman" w:hAnsi="Times New Roman"/>
                <w:sz w:val="28"/>
                <w:szCs w:val="28"/>
              </w:rPr>
              <w:t xml:space="preserve">9.</w:t>
            </w:r>
          </w:p>
        </w:tc>
        <w:tc>
          <w:tcPr>
            <w:tcW w:type="dxa" w:w="585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Correspondence of the class topic to the working curriculum</w:t>
            </w:r>
          </w:p>
        </w:tc>
        <w:tc>
          <w:tcPr>
            <w:tcW w:type="dxa" w:w="280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
            </w:r>
          </w:p>
        </w:tc>
      </w:tr>
      <w:tr>
        <w:tc>
          <w:tcPr>
            <w:tcW w:type="dxa" w:w="700"/>
            <w:tcBorders>
              <w:top w:val="single" w:color="000000" w:sz="6"/>
              <w:left w:val="single" w:color="000000" w:sz="6"/>
              <w:bottom w:val="single" w:color="000000" w:sz="6"/>
              <w:right w:val="single" w:color="000000" w:sz="6"/>
            </w:tcBorders>
            <w:vAlign w:val="center"/>
          </w:tcPr>
          <w:p>
            <w:pPr>
              <w:spacing w:after="40" w:line="300"/>
              <w:jc w:val="center"/>
            </w:pPr>
            <w:r>
              <w:rPr>
                <w:rFonts w:ascii="Times New Roman" w:cs="Times New Roman" w:eastAsia="Times New Roman" w:hAnsi="Times New Roman"/>
                <w:sz w:val="28"/>
                <w:szCs w:val="28"/>
              </w:rPr>
              <w:t xml:space="preserve">10.</w:t>
            </w:r>
          </w:p>
        </w:tc>
        <w:tc>
          <w:tcPr>
            <w:tcW w:type="dxa" w:w="585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Availability of handout materials and their form</w:t>
            </w:r>
          </w:p>
        </w:tc>
        <w:tc>
          <w:tcPr>
            <w:tcW w:type="dxa" w:w="280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
            </w:r>
          </w:p>
        </w:tc>
      </w:tr>
      <w:tr>
        <w:tc>
          <w:tcPr>
            <w:tcW w:type="dxa" w:w="700"/>
            <w:tcBorders>
              <w:top w:val="single" w:color="000000" w:sz="6"/>
              <w:left w:val="single" w:color="000000" w:sz="6"/>
              <w:bottom w:val="single" w:color="000000" w:sz="6"/>
              <w:right w:val="single" w:color="000000" w:sz="6"/>
            </w:tcBorders>
            <w:vAlign w:val="center"/>
          </w:tcPr>
          <w:p>
            <w:pPr>
              <w:spacing w:after="40" w:line="300"/>
              <w:jc w:val="center"/>
            </w:pPr>
            <w:r>
              <w:rPr>
                <w:rFonts w:ascii="Times New Roman" w:cs="Times New Roman" w:eastAsia="Times New Roman" w:hAnsi="Times New Roman"/>
                <w:sz w:val="28"/>
                <w:szCs w:val="28"/>
              </w:rPr>
              <w:t xml:space="preserve">11.</w:t>
            </w:r>
          </w:p>
        </w:tc>
        <w:tc>
          <w:tcPr>
            <w:tcW w:type="dxa" w:w="585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Use of technical teaching aids</w:t>
            </w:r>
          </w:p>
        </w:tc>
        <w:tc>
          <w:tcPr>
            <w:tcW w:type="dxa" w:w="280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
            </w:r>
          </w:p>
        </w:tc>
      </w:tr>
      <w:tr>
        <w:tc>
          <w:tcPr>
            <w:tcW w:type="dxa" w:w="700"/>
            <w:tcBorders>
              <w:top w:val="single" w:color="000000" w:sz="6"/>
              <w:left w:val="single" w:color="000000" w:sz="6"/>
              <w:bottom w:val="single" w:color="000000" w:sz="6"/>
              <w:right w:val="single" w:color="000000" w:sz="6"/>
            </w:tcBorders>
            <w:vAlign w:val="center"/>
          </w:tcPr>
          <w:p>
            <w:pPr>
              <w:spacing w:after="40" w:line="300"/>
              <w:jc w:val="center"/>
            </w:pPr>
            <w:r>
              <w:rPr>
                <w:rFonts w:ascii="Times New Roman" w:cs="Times New Roman" w:eastAsia="Times New Roman" w:hAnsi="Times New Roman"/>
                <w:sz w:val="28"/>
                <w:szCs w:val="28"/>
              </w:rPr>
              <w:t xml:space="preserve">12.</w:t>
            </w:r>
          </w:p>
        </w:tc>
        <w:tc>
          <w:tcPr>
            <w:tcW w:type="dxa" w:w="585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Presentation of the main and additional literature</w:t>
            </w:r>
          </w:p>
        </w:tc>
        <w:tc>
          <w:tcPr>
            <w:tcW w:type="dxa" w:w="2800"/>
            <w:tcBorders>
              <w:top w:val="single" w:color="000000" w:sz="6"/>
              <w:left w:val="single" w:color="000000" w:sz="6"/>
              <w:bottom w:val="single" w:color="000000" w:sz="6"/>
              <w:right w:val="single" w:color="000000" w:sz="6"/>
            </w:tcBorders>
            <w:vAlign w:val="center"/>
          </w:tcPr>
          <w:p>
            <w:pPr>
              <w:spacing w:after="40" w:line="300"/>
              <w:jc w:val="left"/>
            </w:pPr>
            <w:r>
              <w:rPr>
                <w:rFonts w:ascii="Times New Roman" w:cs="Times New Roman" w:eastAsia="Times New Roman" w:hAnsi="Times New Roman"/>
                <w:sz w:val="28"/>
                <w:szCs w:val="28"/>
              </w:rPr>
              <w:t xml:space="preserve"/>
            </w:r>
          </w:p>
        </w:tc>
      </w:tr>
    </w:tbl>
    <w:p>
      <w:pPr>
        <w:spacing w:after="60" w:line="360"/>
        <w:jc w:val="both"/>
      </w:pPr>
      <w:r>
        <w:rPr>
          <w:rFonts w:ascii="Times New Roman" w:cs="Times New Roman" w:eastAsia="Times New Roman" w:hAnsi="Times New Roman"/>
          <w:sz w:val="28"/>
          <w:szCs w:val="28"/>
        </w:rPr>
        <w:t xml:space="preserve"/>
      </w:r>
    </w:p>
    <w:p>
      <w:pPr>
        <w:spacing w:after="60" w:line="360"/>
        <w:jc w:val="both"/>
      </w:pPr>
      <w:r>
        <w:rPr>
          <w:rFonts w:ascii="Times New Roman" w:cs="Times New Roman" w:eastAsia="Times New Roman" w:hAnsi="Times New Roman"/>
          <w:b/>
          <w:bCs/>
          <w:sz w:val="28"/>
          <w:szCs w:val="28"/>
        </w:rPr>
        <w:t xml:space="preserve">General conclusion:</w:t>
      </w:r>
    </w:p>
    <w:p>
      <w:pPr>
        <w:spacing w:after="60" w:line="360"/>
        <w:jc w:val="left"/>
      </w:pPr>
      <w:r>
        <w:rPr>
          <w:rFonts w:ascii="Times New Roman" w:cs="Times New Roman" w:eastAsia="Times New Roman" w:hAnsi="Times New Roman"/>
          <w:sz w:val="28"/>
          <w:szCs w:val="28"/>
        </w:rPr>
        <w:t xml:space="preserve">____________________________________________________________________________</w:t>
      </w:r>
    </w:p>
    <w:p>
      <w:pPr>
        <w:spacing w:after="60" w:line="360"/>
        <w:jc w:val="left"/>
      </w:pPr>
      <w:r>
        <w:rPr>
          <w:rFonts w:ascii="Times New Roman" w:cs="Times New Roman" w:eastAsia="Times New Roman" w:hAnsi="Times New Roman"/>
          <w:sz w:val="28"/>
          <w:szCs w:val="28"/>
        </w:rPr>
        <w:t xml:space="preserve">____________________________________________________________________________</w:t>
      </w:r>
    </w:p>
    <w:p>
      <w:pPr>
        <w:spacing w:after="60" w:line="360"/>
        <w:jc w:val="left"/>
      </w:pPr>
      <w:r>
        <w:rPr>
          <w:rFonts w:ascii="Times New Roman" w:cs="Times New Roman" w:eastAsia="Times New Roman" w:hAnsi="Times New Roman"/>
          <w:sz w:val="28"/>
          <w:szCs w:val="28"/>
        </w:rPr>
        <w:t xml:space="preserve">____________________________________________________________________________</w:t>
      </w:r>
    </w:p>
    <w:p>
      <w:pPr>
        <w:spacing w:after="60" w:line="360"/>
        <w:jc w:val="left"/>
      </w:pPr>
      <w:r>
        <w:rPr>
          <w:rFonts w:ascii="Times New Roman" w:cs="Times New Roman" w:eastAsia="Times New Roman" w:hAnsi="Times New Roman"/>
          <w:sz w:val="28"/>
          <w:szCs w:val="28"/>
        </w:rPr>
        <w:t xml:space="preserve">____________________________________________________________________________</w:t>
      </w:r>
    </w:p>
    <w:p>
      <w:pPr>
        <w:spacing w:after="60" w:line="360"/>
        <w:jc w:val="both"/>
      </w:pPr>
      <w:r>
        <w:rPr>
          <w:rFonts w:ascii="Times New Roman" w:cs="Times New Roman" w:eastAsia="Times New Roman" w:hAnsi="Times New Roman"/>
          <w:sz w:val="28"/>
          <w:szCs w:val="28"/>
        </w:rPr>
        <w:t xml:space="preserve"/>
      </w:r>
    </w:p>
    <w:p>
      <w:pPr>
        <w:spacing w:after="60" w:line="360"/>
        <w:jc w:val="both"/>
      </w:pPr>
      <w:r>
        <w:rPr>
          <w:rFonts w:ascii="Times New Roman" w:cs="Times New Roman" w:eastAsia="Times New Roman" w:hAnsi="Times New Roman"/>
          <w:b/>
          <w:bCs/>
          <w:sz w:val="28"/>
          <w:szCs w:val="28"/>
        </w:rPr>
        <w:t xml:space="preserve">Class observers:</w:t>
      </w:r>
    </w:p>
    <w:p>
      <w:pPr>
        <w:spacing w:after="40" w:line="360"/>
        <w:jc w:val="both"/>
      </w:pPr>
      <w:r>
        <w:rPr>
          <w:rFonts w:ascii="Times New Roman" w:cs="Times New Roman" w:eastAsia="Times New Roman" w:hAnsi="Times New Roman"/>
          <w:sz w:val="28"/>
          <w:szCs w:val="28"/>
        </w:rPr>
        <w:t xml:space="preserve">Head of the EQC Department</w:t>
      </w: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 xml:space="preserve">S. Maxkamova</w:t>
      </w:r>
    </w:p>
    <w:p>
      <w:pPr>
        <w:spacing w:after="40" w:line="360"/>
        <w:jc w:val="both"/>
      </w:pPr>
      <w:r>
        <w:rPr>
          <w:rFonts w:ascii="Times New Roman" w:cs="Times New Roman" w:eastAsia="Times New Roman" w:hAnsi="Times New Roman"/>
          <w:sz w:val="28"/>
          <w:szCs w:val="28"/>
        </w:rPr>
        <w:t xml:space="preserve">Dean</w:t>
      </w:r>
    </w:p>
    <w:p>
      <w:pPr>
        <w:spacing w:after="40" w:line="360"/>
        <w:jc w:val="both"/>
      </w:pPr>
      <w:r>
        <w:rPr>
          <w:rFonts w:ascii="Times New Roman" w:cs="Times New Roman" w:eastAsia="Times New Roman" w:hAnsi="Times New Roman"/>
          <w:sz w:val="28"/>
          <w:szCs w:val="28"/>
        </w:rPr>
        <w:t xml:space="preserve">Head of Department</w:t>
      </w:r>
    </w:p>
    <w:p>
      <w:pPr>
        <w:spacing w:after="40" w:line="360"/>
        <w:jc w:val="both"/>
      </w:pPr>
      <w:r>
        <w:rPr>
          <w:rFonts w:ascii="Times New Roman" w:cs="Times New Roman" w:eastAsia="Times New Roman" w:hAnsi="Times New Roman"/>
          <w:sz w:val="28"/>
          <w:szCs w:val="28"/>
        </w:rPr>
        <w:t xml:space="preserve">Expert</w:t>
      </w:r>
    </w:p>
    <w:p>
      <w:pPr>
        <w:spacing w:after="40" w:line="360"/>
        <w:jc w:val="both"/>
      </w:pPr>
      <w:r>
        <w:rPr>
          <w:rFonts w:ascii="Times New Roman" w:cs="Times New Roman" w:eastAsia="Times New Roman" w:hAnsi="Times New Roman"/>
          <w:sz w:val="28"/>
          <w:szCs w:val="28"/>
        </w:rPr>
        <w:t xml:space="preserve">Signature of the teacher who delivered the class: ________________</w:t>
      </w:r>
    </w:p>
    <w:p>
      <w:pPr>
        <w:spacing w:after="40" w:line="360"/>
        <w:jc w:val="both"/>
      </w:pPr>
      <w:r>
        <w:rPr>
          <w:rFonts w:ascii="Times New Roman" w:cs="Times New Roman" w:eastAsia="Times New Roman" w:hAnsi="Times New Roman"/>
          <w:sz w:val="28"/>
          <w:szCs w:val="28"/>
        </w:rPr>
        <w:t xml:space="preserve">“____” ______________ 2025</w:t>
      </w:r>
    </w:p>
    <w:sectPr>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line="360"/>
    </w:pPr>
    <w:rPr>
      <w:rFonts w:ascii="Times New Roman" w:cs="Times New Roman" w:eastAsia="Times New Roman" w:hAnsi="Times New Roman"/>
      <w:b/>
      <w:bCs/>
      <w:sz w:val="30"/>
      <w:szCs w:val="30"/>
    </w:rPr>
  </w:style>
  <w:style w:type="paragraph" w:styleId="Heading2">
    <w:name w:val="Heading 2"/>
    <w:basedOn w:val="Normal"/>
    <w:next w:val="Normal"/>
    <w:qFormat/>
    <w:pPr>
      <w:spacing w:after="120" w:before="160" w:line="360"/>
    </w:pPr>
    <w:rPr>
      <w:rFonts w:ascii="Times New Roman" w:cs="Times New Roman" w:eastAsia="Times New Roman" w:hAnsi="Times New Roman"/>
      <w:b/>
      <w:bCs/>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2026-08-08T08:06:06.763Z</dcterms:created>
  <dcterms:modified xsi:type="dcterms:W3CDTF">2026-08-08T08:06:06.778Z</dcterms:modified>
</cp:coreProperties>
</file>

<file path=docProps/custom.xml><?xml version="1.0" encoding="utf-8"?>
<Properties xmlns="http://schemas.openxmlformats.org/officeDocument/2006/custom-properties" xmlns:vt="http://schemas.openxmlformats.org/officeDocument/2006/docPropsVTypes"/>
</file>